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C0C" w:rsidRDefault="00E45C0C" w:rsidP="00E45C0C"/>
    <w:p w:rsidR="00E45C0C" w:rsidRDefault="00E45C0C" w:rsidP="00E45C0C">
      <w:r w:rsidRPr="009B0423">
        <w:rPr>
          <w:noProof/>
          <w:lang w:eastAsia="fr-FR"/>
        </w:rPr>
        <w:drawing>
          <wp:inline distT="0" distB="0" distL="0" distR="0" wp14:anchorId="7C85766D" wp14:editId="271D3B4B">
            <wp:extent cx="5760720" cy="895275"/>
            <wp:effectExtent l="0" t="0" r="0" b="63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895275"/>
                    </a:xfrm>
                    <a:prstGeom prst="rect">
                      <a:avLst/>
                    </a:prstGeom>
                    <a:noFill/>
                  </pic:spPr>
                </pic:pic>
              </a:graphicData>
            </a:graphic>
          </wp:inline>
        </w:drawing>
      </w:r>
    </w:p>
    <w:p w:rsidR="00E45C0C" w:rsidRDefault="00E45C0C" w:rsidP="00E45C0C"/>
    <w:p w:rsidR="00E45C0C" w:rsidRDefault="00E45C0C" w:rsidP="00E45C0C"/>
    <w:p w:rsidR="00E45C0C" w:rsidRDefault="00E45C0C" w:rsidP="00E45C0C"/>
    <w:p w:rsidR="00E45C0C" w:rsidRDefault="00E45C0C" w:rsidP="00E45C0C"/>
    <w:p w:rsidR="00E45C0C" w:rsidRDefault="00E45C0C" w:rsidP="00E45C0C"/>
    <w:tbl>
      <w:tblPr>
        <w:tblStyle w:val="Grilledutableau"/>
        <w:tblW w:w="0" w:type="auto"/>
        <w:jc w:val="center"/>
        <w:tblLook w:val="04A0" w:firstRow="1" w:lastRow="0" w:firstColumn="1" w:lastColumn="0" w:noHBand="0" w:noVBand="1"/>
      </w:tblPr>
      <w:tblGrid>
        <w:gridCol w:w="9062"/>
      </w:tblGrid>
      <w:tr w:rsidR="00E45C0C" w:rsidTr="000C7982">
        <w:trPr>
          <w:jc w:val="center"/>
        </w:trPr>
        <w:tc>
          <w:tcPr>
            <w:tcW w:w="9062" w:type="dxa"/>
          </w:tcPr>
          <w:p w:rsidR="00E45C0C" w:rsidRPr="00B44AB5" w:rsidRDefault="00E45C0C" w:rsidP="00077335">
            <w:pPr>
              <w:spacing w:before="240" w:after="240"/>
              <w:jc w:val="center"/>
              <w:rPr>
                <w:b/>
                <w:sz w:val="44"/>
                <w:szCs w:val="44"/>
              </w:rPr>
            </w:pPr>
            <w:r w:rsidRPr="00B44AB5">
              <w:rPr>
                <w:b/>
                <w:sz w:val="44"/>
                <w:szCs w:val="44"/>
              </w:rPr>
              <w:t>Lieu</w:t>
            </w:r>
          </w:p>
        </w:tc>
      </w:tr>
      <w:tr w:rsidR="00E45C0C" w:rsidTr="000C7982">
        <w:trPr>
          <w:jc w:val="center"/>
        </w:trPr>
        <w:tc>
          <w:tcPr>
            <w:tcW w:w="9062" w:type="dxa"/>
          </w:tcPr>
          <w:p w:rsidR="00E45C0C" w:rsidRPr="00B44AB5" w:rsidRDefault="00E45C0C" w:rsidP="00077335">
            <w:pPr>
              <w:spacing w:before="240" w:after="240"/>
              <w:jc w:val="center"/>
              <w:rPr>
                <w:b/>
                <w:sz w:val="44"/>
                <w:szCs w:val="44"/>
                <w:u w:val="single"/>
              </w:rPr>
            </w:pPr>
            <w:r w:rsidRPr="00B44AB5">
              <w:rPr>
                <w:b/>
                <w:sz w:val="44"/>
                <w:szCs w:val="44"/>
                <w:u w:val="single"/>
              </w:rPr>
              <w:t>Objet du marché :</w:t>
            </w:r>
          </w:p>
          <w:p w:rsidR="00E45C0C" w:rsidRPr="00B44AB5" w:rsidRDefault="00E45C0C" w:rsidP="00077335">
            <w:pPr>
              <w:spacing w:before="240" w:after="240"/>
              <w:jc w:val="center"/>
              <w:rPr>
                <w:b/>
                <w:sz w:val="44"/>
                <w:szCs w:val="44"/>
              </w:rPr>
            </w:pPr>
            <w:r w:rsidRPr="00B44AB5">
              <w:rPr>
                <w:b/>
                <w:sz w:val="44"/>
                <w:szCs w:val="44"/>
              </w:rPr>
              <w:t>Marché d’exploitation et de maintenance multi techniques</w:t>
            </w:r>
          </w:p>
        </w:tc>
      </w:tr>
      <w:tr w:rsidR="00E45C0C" w:rsidTr="000C7982">
        <w:trPr>
          <w:jc w:val="center"/>
        </w:trPr>
        <w:tc>
          <w:tcPr>
            <w:tcW w:w="9062" w:type="dxa"/>
          </w:tcPr>
          <w:p w:rsidR="00E45C0C" w:rsidRPr="00B44AB5" w:rsidRDefault="00E45C0C" w:rsidP="00077335">
            <w:pPr>
              <w:spacing w:before="240" w:after="240"/>
              <w:jc w:val="center"/>
              <w:rPr>
                <w:b/>
                <w:sz w:val="40"/>
                <w:szCs w:val="40"/>
              </w:rPr>
            </w:pPr>
            <w:r w:rsidRPr="00B44AB5">
              <w:rPr>
                <w:b/>
                <w:sz w:val="40"/>
                <w:szCs w:val="40"/>
              </w:rPr>
              <w:t>Cahier des Clauses Techniques Particulières</w:t>
            </w:r>
          </w:p>
        </w:tc>
      </w:tr>
      <w:tr w:rsidR="00E45C0C" w:rsidRPr="00285769" w:rsidTr="000C7982">
        <w:trPr>
          <w:jc w:val="center"/>
        </w:trPr>
        <w:tc>
          <w:tcPr>
            <w:tcW w:w="9062" w:type="dxa"/>
          </w:tcPr>
          <w:p w:rsidR="00E45C0C" w:rsidRPr="00D62F47" w:rsidRDefault="00E45C0C" w:rsidP="00077335">
            <w:pPr>
              <w:pStyle w:val="Titre1"/>
              <w:outlineLvl w:val="0"/>
              <w:rPr>
                <w:color w:val="000000" w:themeColor="text1"/>
              </w:rPr>
            </w:pPr>
            <w:bookmarkStart w:id="0" w:name="_Toc161318627"/>
            <w:bookmarkStart w:id="1" w:name="_Toc161318774"/>
            <w:bookmarkStart w:id="2" w:name="_Toc161320699"/>
            <w:bookmarkStart w:id="3" w:name="_Toc191052337"/>
            <w:r w:rsidRPr="009E1882">
              <w:t>Section technique 09 – Toitures</w:t>
            </w:r>
            <w:bookmarkEnd w:id="0"/>
            <w:bookmarkEnd w:id="1"/>
            <w:bookmarkEnd w:id="2"/>
            <w:bookmarkEnd w:id="3"/>
          </w:p>
        </w:tc>
      </w:tr>
    </w:tbl>
    <w:p w:rsidR="00E45C0C" w:rsidRDefault="00E45C0C" w:rsidP="00E45C0C"/>
    <w:p w:rsidR="00E45C0C" w:rsidRDefault="00E45C0C" w:rsidP="00E45C0C"/>
    <w:p w:rsidR="00E45C0C" w:rsidRDefault="00E45C0C" w:rsidP="00E45C0C">
      <w:pPr>
        <w:rPr>
          <w:rFonts w:cstheme="minorHAnsi"/>
        </w:rPr>
      </w:pPr>
      <w:r>
        <w:br w:type="page"/>
      </w:r>
    </w:p>
    <w:p w:rsidR="00E45C0C" w:rsidRPr="00CB7AB0" w:rsidRDefault="00E45C0C" w:rsidP="00E45C0C">
      <w:pPr>
        <w:pStyle w:val="Titre2"/>
      </w:pPr>
      <w:bookmarkStart w:id="4" w:name="_Toc161318628"/>
      <w:bookmarkStart w:id="5" w:name="_Toc161318775"/>
      <w:bookmarkStart w:id="6" w:name="_Toc161320700"/>
      <w:bookmarkStart w:id="7" w:name="_Toc191052338"/>
      <w:r w:rsidRPr="00CB7AB0">
        <w:lastRenderedPageBreak/>
        <w:t xml:space="preserve">ARTICLE 1. OBJET </w:t>
      </w:r>
      <w:r w:rsidR="004D7DD3">
        <w:t>DE LA ST</w:t>
      </w:r>
      <w:r>
        <w:t xml:space="preserve"> 09 DU CCTP</w:t>
      </w:r>
      <w:bookmarkEnd w:id="4"/>
      <w:bookmarkEnd w:id="5"/>
      <w:bookmarkEnd w:id="6"/>
      <w:bookmarkEnd w:id="7"/>
    </w:p>
    <w:p w:rsidR="00E45C0C" w:rsidRDefault="00E45C0C" w:rsidP="00E45C0C">
      <w:r w:rsidRPr="007E473D">
        <w:t xml:space="preserve">Le présent chapitre a pour objet de </w:t>
      </w:r>
      <w:r>
        <w:t>préciser les dispositions particulières qui s’appliquent à la section technique 09 du présent marché multi techniques.</w:t>
      </w:r>
    </w:p>
    <w:p w:rsidR="00E45C0C" w:rsidRDefault="00E45C0C" w:rsidP="00E45C0C"/>
    <w:p w:rsidR="00E45C0C" w:rsidRPr="00CB7AB0" w:rsidRDefault="00E45C0C" w:rsidP="00E45C0C">
      <w:pPr>
        <w:pStyle w:val="Titre2"/>
      </w:pPr>
      <w:bookmarkStart w:id="8" w:name="_Toc191052339"/>
      <w:r w:rsidRPr="00CB7AB0">
        <w:t xml:space="preserve">ARTICLE </w:t>
      </w:r>
      <w:r>
        <w:t>2</w:t>
      </w:r>
      <w:r w:rsidRPr="00CB7AB0">
        <w:t xml:space="preserve">. </w:t>
      </w:r>
      <w:r>
        <w:t>GENERALITES</w:t>
      </w:r>
      <w:bookmarkEnd w:id="8"/>
    </w:p>
    <w:p w:rsidR="00E45C0C" w:rsidRDefault="00E45C0C" w:rsidP="00E45C0C">
      <w:r>
        <w:t xml:space="preserve">Le périmètre géographique du marché est défini en </w:t>
      </w:r>
      <w:r w:rsidRPr="00DF6F5B">
        <w:rPr>
          <w:b/>
          <w:color w:val="4BACC6" w:themeColor="accent5"/>
          <w:u w:val="single"/>
          <w:lang w:eastAsia="fr-FR"/>
        </w:rPr>
        <w:t>ANNEXE 02.</w:t>
      </w:r>
      <w:r w:rsidR="007474F7" w:rsidRPr="007474F7">
        <w:rPr>
          <w:b/>
          <w:color w:val="4BACC6" w:themeColor="accent5"/>
        </w:rPr>
        <w:t xml:space="preserve"> </w:t>
      </w:r>
      <w:r w:rsidR="007474F7">
        <w:rPr>
          <w:b/>
          <w:color w:val="4BACC6" w:themeColor="accent5"/>
        </w:rPr>
        <w:t>d</w:t>
      </w:r>
      <w:r w:rsidR="007474F7" w:rsidRPr="007C00E1">
        <w:rPr>
          <w:b/>
          <w:color w:val="4BACC6" w:themeColor="accent5"/>
        </w:rPr>
        <w:t>u CCTP</w:t>
      </w:r>
      <w:r w:rsidR="007474F7">
        <w:rPr>
          <w:b/>
          <w:color w:val="4BACC6" w:themeColor="accent5"/>
          <w:u w:val="single"/>
        </w:rPr>
        <w:t xml:space="preserve"> </w:t>
      </w:r>
      <w:r w:rsidR="007474F7" w:rsidRPr="007C00E1">
        <w:rPr>
          <w:b/>
          <w:color w:val="4BACC6" w:themeColor="accent5"/>
        </w:rPr>
        <w:t>Dispositions générales et communes</w:t>
      </w:r>
      <w:r w:rsidR="007474F7">
        <w:rPr>
          <w:b/>
          <w:color w:val="4BACC6" w:themeColor="accent5"/>
        </w:rPr>
        <w:t>.</w:t>
      </w:r>
      <w:bookmarkStart w:id="9" w:name="_GoBack"/>
      <w:bookmarkEnd w:id="9"/>
    </w:p>
    <w:p w:rsidR="00E45C0C" w:rsidRPr="00CB7AB0" w:rsidRDefault="00E45C0C" w:rsidP="00E45C0C">
      <w:pPr>
        <w:pStyle w:val="Titre2"/>
      </w:pPr>
      <w:bookmarkStart w:id="10" w:name="_Toc191052340"/>
      <w:r w:rsidRPr="00CB7AB0">
        <w:t xml:space="preserve">ARTICLE </w:t>
      </w:r>
      <w:r>
        <w:t>3</w:t>
      </w:r>
      <w:r w:rsidRPr="00CB7AB0">
        <w:t xml:space="preserve">. </w:t>
      </w:r>
      <w:r>
        <w:t>TEXTES REGLEMENTAIRES</w:t>
      </w:r>
      <w:bookmarkEnd w:id="10"/>
    </w:p>
    <w:p w:rsidR="00E45C0C" w:rsidRDefault="00E45C0C" w:rsidP="00E45C0C">
      <w:pPr>
        <w:pStyle w:val="Corpsdetexte"/>
        <w:rPr>
          <w:rFonts w:ascii="Calibri" w:hAnsi="Calibri"/>
          <w:sz w:val="22"/>
          <w:szCs w:val="22"/>
        </w:rPr>
      </w:pPr>
      <w:r w:rsidRPr="005D1764">
        <w:rPr>
          <w:rFonts w:ascii="Calibri" w:hAnsi="Calibri"/>
          <w:sz w:val="22"/>
          <w:szCs w:val="22"/>
        </w:rPr>
        <w:t xml:space="preserve">Le </w:t>
      </w:r>
      <w:r>
        <w:rPr>
          <w:rFonts w:ascii="Calibri" w:hAnsi="Calibri"/>
          <w:sz w:val="22"/>
          <w:szCs w:val="22"/>
        </w:rPr>
        <w:t>t</w:t>
      </w:r>
      <w:r w:rsidRPr="005D1764">
        <w:rPr>
          <w:rFonts w:ascii="Calibri" w:hAnsi="Calibri"/>
          <w:sz w:val="22"/>
          <w:szCs w:val="22"/>
        </w:rPr>
        <w:t>itulaire réalise les prestations conformément à la réglementation en vigueur et en particulier en application des textes suivants :</w:t>
      </w:r>
    </w:p>
    <w:p w:rsidR="000C7982" w:rsidRDefault="000C7982" w:rsidP="00E45C0C">
      <w:pPr>
        <w:pStyle w:val="Corpsdetexte"/>
        <w:rPr>
          <w:rFonts w:ascii="Calibri" w:hAnsi="Calibri"/>
          <w:sz w:val="22"/>
          <w:szCs w:val="22"/>
        </w:rPr>
      </w:pPr>
    </w:p>
    <w:p w:rsidR="00686E4A" w:rsidRPr="004E1991" w:rsidRDefault="00686E4A" w:rsidP="00686E4A">
      <w:pPr>
        <w:pStyle w:val="Style1"/>
        <w:numPr>
          <w:ilvl w:val="0"/>
          <w:numId w:val="1"/>
        </w:numPr>
        <w:spacing w:after="0"/>
        <w:ind w:left="738"/>
      </w:pPr>
      <w:r w:rsidRPr="004E1991">
        <w:t>NF P37-419, NF EN 516 du 2007-03-01 Installations pour accès au toit - Accessoires préfabriqués pour couverture - Passerelles, plans de marche et escabeaux</w:t>
      </w:r>
    </w:p>
    <w:p w:rsidR="00686E4A" w:rsidRDefault="00686E4A" w:rsidP="00686E4A">
      <w:pPr>
        <w:pStyle w:val="Style1"/>
        <w:numPr>
          <w:ilvl w:val="0"/>
          <w:numId w:val="1"/>
        </w:numPr>
        <w:spacing w:after="0"/>
        <w:ind w:left="738"/>
      </w:pPr>
      <w:r w:rsidRPr="001F3B3D">
        <w:t xml:space="preserve">NF EN 494+A1 du 23/10/2015 : </w:t>
      </w:r>
      <w:r w:rsidRPr="00C4415C">
        <w:t>Plaques profilées en fibres-ciment et accessoires - Spécifications du produit et méthodes d'essai</w:t>
      </w:r>
    </w:p>
    <w:p w:rsidR="00686E4A" w:rsidRDefault="00686E4A" w:rsidP="00686E4A">
      <w:pPr>
        <w:pStyle w:val="Style1"/>
        <w:numPr>
          <w:ilvl w:val="0"/>
          <w:numId w:val="1"/>
        </w:numPr>
        <w:spacing w:after="0"/>
        <w:ind w:left="738"/>
      </w:pPr>
      <w:r w:rsidRPr="004E1991">
        <w:t>NF P84-207, NF DTU 43.4 - Octobre 2008</w:t>
      </w:r>
      <w:r>
        <w:t xml:space="preserve"> : </w:t>
      </w:r>
      <w:r w:rsidRPr="004E1991">
        <w:t>Travaux de bâtiment.</w:t>
      </w:r>
      <w:r>
        <w:t xml:space="preserve"> </w:t>
      </w:r>
      <w:r w:rsidRPr="004E1991">
        <w:t>Toitures en éléments porteurs en bois et panneaux dérivés du bois avec revêtements d’étanchéité.</w:t>
      </w:r>
    </w:p>
    <w:p w:rsidR="0005409C" w:rsidRDefault="0005409C" w:rsidP="00686E4A">
      <w:pPr>
        <w:pStyle w:val="Style1"/>
        <w:numPr>
          <w:ilvl w:val="0"/>
          <w:numId w:val="1"/>
        </w:numPr>
        <w:spacing w:after="0"/>
        <w:ind w:left="738"/>
      </w:pPr>
      <w:r>
        <w:t>NF EN 62446 : Définition des procédures de vérification pour l’installation, l’inspection, mise en service et maintenance des équipements solaires</w:t>
      </w:r>
    </w:p>
    <w:p w:rsidR="00686E4A" w:rsidRPr="001F3D52" w:rsidRDefault="00686E4A" w:rsidP="00686E4A">
      <w:pPr>
        <w:pStyle w:val="Style1"/>
        <w:numPr>
          <w:ilvl w:val="0"/>
          <w:numId w:val="1"/>
        </w:numPr>
        <w:spacing w:after="0"/>
        <w:ind w:left="738"/>
      </w:pPr>
      <w:r w:rsidRPr="001F3D52">
        <w:t>DTU n° 40-23</w:t>
      </w:r>
      <w:r w:rsidRPr="001F3D52">
        <w:tab/>
        <w:t>Couvertures en tuiles plates de terre cuite ;</w:t>
      </w:r>
    </w:p>
    <w:p w:rsidR="00686E4A" w:rsidRPr="001F3D52" w:rsidRDefault="00686E4A" w:rsidP="00686E4A">
      <w:pPr>
        <w:pStyle w:val="Style1"/>
        <w:numPr>
          <w:ilvl w:val="0"/>
          <w:numId w:val="1"/>
        </w:numPr>
        <w:spacing w:after="0"/>
        <w:ind w:left="738"/>
      </w:pPr>
      <w:r w:rsidRPr="001F3D52">
        <w:t>DTU n° 40-11</w:t>
      </w:r>
      <w:r w:rsidRPr="001F3D52">
        <w:tab/>
        <w:t>Couvertures en ardoises ;</w:t>
      </w:r>
    </w:p>
    <w:p w:rsidR="00686E4A" w:rsidRDefault="00686E4A" w:rsidP="00686E4A">
      <w:pPr>
        <w:pStyle w:val="Style1"/>
        <w:numPr>
          <w:ilvl w:val="0"/>
          <w:numId w:val="1"/>
        </w:numPr>
        <w:spacing w:after="0"/>
        <w:ind w:left="738"/>
      </w:pPr>
      <w:r w:rsidRPr="001F3D52">
        <w:t>DTU n° 40-12</w:t>
      </w:r>
      <w:r w:rsidRPr="001F3D52">
        <w:tab/>
        <w:t>Couvertures en ardoises fibro-ciment ;</w:t>
      </w:r>
    </w:p>
    <w:p w:rsidR="00686E4A" w:rsidRPr="001F3D52" w:rsidRDefault="00686E4A" w:rsidP="00686E4A">
      <w:pPr>
        <w:pStyle w:val="Style1"/>
        <w:numPr>
          <w:ilvl w:val="0"/>
          <w:numId w:val="1"/>
        </w:numPr>
        <w:spacing w:after="0"/>
        <w:ind w:left="738"/>
      </w:pPr>
      <w:r>
        <w:t>DTU n° 40-14</w:t>
      </w:r>
      <w:r>
        <w:tab/>
        <w:t>Couvertures en bardeaux bitumés ;</w:t>
      </w:r>
    </w:p>
    <w:p w:rsidR="00686E4A" w:rsidRPr="001F3D52" w:rsidRDefault="00686E4A" w:rsidP="00686E4A">
      <w:pPr>
        <w:pStyle w:val="Style1"/>
        <w:numPr>
          <w:ilvl w:val="0"/>
          <w:numId w:val="1"/>
        </w:numPr>
        <w:spacing w:after="0"/>
        <w:ind w:left="738"/>
      </w:pPr>
      <w:r w:rsidRPr="001F3D52">
        <w:t>DTU n° 40-31</w:t>
      </w:r>
      <w:r w:rsidRPr="001F3D52">
        <w:tab/>
        <w:t>Couvertures en plaques ondulées fibro-ciment ;</w:t>
      </w:r>
    </w:p>
    <w:p w:rsidR="00686E4A" w:rsidRPr="001F3D52" w:rsidRDefault="00686E4A" w:rsidP="00686E4A">
      <w:pPr>
        <w:pStyle w:val="Style1"/>
        <w:numPr>
          <w:ilvl w:val="0"/>
          <w:numId w:val="1"/>
        </w:numPr>
        <w:spacing w:after="0"/>
        <w:ind w:left="738"/>
      </w:pPr>
      <w:r w:rsidRPr="001F3D52">
        <w:t>DTU n° 40-32</w:t>
      </w:r>
      <w:r w:rsidRPr="001F3D52">
        <w:tab/>
        <w:t>Couvertures en plaques ondulées métalliques ;</w:t>
      </w:r>
    </w:p>
    <w:p w:rsidR="00686E4A" w:rsidRPr="001F3D52" w:rsidRDefault="00686E4A" w:rsidP="00686E4A">
      <w:pPr>
        <w:pStyle w:val="Style1"/>
        <w:numPr>
          <w:ilvl w:val="0"/>
          <w:numId w:val="1"/>
        </w:numPr>
        <w:spacing w:after="0"/>
        <w:ind w:left="738"/>
      </w:pPr>
      <w:r w:rsidRPr="001F3D52">
        <w:t>DTU n° 40-34</w:t>
      </w:r>
      <w:r w:rsidRPr="001F3D52">
        <w:tab/>
        <w:t>Couvertures en plaques ondulées polyester ;</w:t>
      </w:r>
    </w:p>
    <w:p w:rsidR="00686E4A" w:rsidRPr="001F3D52" w:rsidRDefault="00686E4A" w:rsidP="00686E4A">
      <w:pPr>
        <w:pStyle w:val="Style1"/>
        <w:numPr>
          <w:ilvl w:val="0"/>
          <w:numId w:val="1"/>
        </w:numPr>
        <w:spacing w:after="0"/>
        <w:ind w:left="738"/>
      </w:pPr>
      <w:r w:rsidRPr="001F3D52">
        <w:t>DTU n° 40-35</w:t>
      </w:r>
      <w:r w:rsidRPr="001F3D52">
        <w:tab/>
        <w:t>Couvertures en plaques nervurées galvanisées ;</w:t>
      </w:r>
    </w:p>
    <w:p w:rsidR="00686E4A" w:rsidRDefault="00686E4A" w:rsidP="00686E4A">
      <w:pPr>
        <w:pStyle w:val="Style1"/>
        <w:numPr>
          <w:ilvl w:val="0"/>
          <w:numId w:val="1"/>
        </w:numPr>
        <w:spacing w:after="0"/>
        <w:ind w:left="738"/>
      </w:pPr>
      <w:r w:rsidRPr="001F3D52">
        <w:t>DTU n° 40-41</w:t>
      </w:r>
      <w:r w:rsidRPr="001F3D52">
        <w:tab/>
        <w:t>Couvertures par grands éléments en feuilles et bandes de zinc ;</w:t>
      </w:r>
    </w:p>
    <w:p w:rsidR="006F7D49" w:rsidRDefault="006F7D49" w:rsidP="006F7D49">
      <w:pPr>
        <w:pStyle w:val="Style1"/>
        <w:numPr>
          <w:ilvl w:val="0"/>
          <w:numId w:val="1"/>
        </w:numPr>
        <w:spacing w:after="0"/>
        <w:ind w:left="738"/>
      </w:pPr>
      <w:r w:rsidRPr="001F3D52">
        <w:t>DTU n° 40-1</w:t>
      </w:r>
      <w:r w:rsidRPr="001F3D52">
        <w:tab/>
        <w:t>Travaux d’étanchéité toitures terrasses avec support béton ;</w:t>
      </w:r>
    </w:p>
    <w:p w:rsidR="006F7D49" w:rsidRPr="001F3D52" w:rsidRDefault="006F7D49" w:rsidP="006F7D49">
      <w:pPr>
        <w:pStyle w:val="Style1"/>
        <w:numPr>
          <w:ilvl w:val="0"/>
          <w:numId w:val="1"/>
        </w:numPr>
        <w:spacing w:after="0"/>
        <w:ind w:left="738"/>
      </w:pPr>
      <w:r w:rsidRPr="001F3D52">
        <w:t>DTU n° 40-3</w:t>
      </w:r>
      <w:r w:rsidRPr="001F3D52">
        <w:tab/>
        <w:t>Mise en œuvre des toitures en tôles d’acier galvanisées avec revêtement d’étanchéité ;</w:t>
      </w:r>
      <w:r w:rsidRPr="00686E4A">
        <w:rPr>
          <w:sz w:val="20"/>
        </w:rPr>
        <w:t xml:space="preserve"> Plaques ondulées FR Natura n° 5/98-1338 à la classification 600 joules</w:t>
      </w:r>
      <w:r>
        <w:rPr>
          <w:sz w:val="20"/>
        </w:rPr>
        <w:t> </w:t>
      </w:r>
      <w:r>
        <w:t>;</w:t>
      </w:r>
    </w:p>
    <w:p w:rsidR="00686E4A" w:rsidRDefault="00686E4A" w:rsidP="00686E4A">
      <w:pPr>
        <w:pStyle w:val="Style1"/>
        <w:numPr>
          <w:ilvl w:val="0"/>
          <w:numId w:val="1"/>
        </w:numPr>
        <w:spacing w:after="0"/>
        <w:ind w:left="738"/>
      </w:pPr>
      <w:r w:rsidRPr="001F3D52">
        <w:t>DTU n° 40-5</w:t>
      </w:r>
      <w:r w:rsidRPr="001F3D52">
        <w:tab/>
        <w:t>Travaux d’évacuation des eaux pluviales ;</w:t>
      </w:r>
    </w:p>
    <w:p w:rsidR="00686E4A" w:rsidRDefault="00686E4A" w:rsidP="00686E4A">
      <w:pPr>
        <w:pStyle w:val="Style1"/>
        <w:numPr>
          <w:ilvl w:val="0"/>
          <w:numId w:val="1"/>
        </w:numPr>
        <w:spacing w:after="0"/>
      </w:pPr>
      <w:r>
        <w:t>DTU n° 43.1</w:t>
      </w:r>
      <w:r>
        <w:tab/>
      </w:r>
      <w:r w:rsidRPr="0028629A">
        <w:t>Étanchéité des toiture</w:t>
      </w:r>
      <w:r>
        <w:t xml:space="preserve">s </w:t>
      </w:r>
      <w:r w:rsidRPr="0028629A">
        <w:t>terrasse</w:t>
      </w:r>
      <w:r>
        <w:t xml:space="preserve">s </w:t>
      </w:r>
      <w:r w:rsidRPr="0028629A">
        <w:t>et toitures inclinées avec éléments porteurs</w:t>
      </w:r>
      <w:r>
        <w:t xml:space="preserve"> </w:t>
      </w:r>
      <w:r w:rsidRPr="0028629A">
        <w:t>en maçonnerie</w:t>
      </w:r>
      <w:r>
        <w:t xml:space="preserve"> </w:t>
      </w:r>
      <w:r w:rsidRPr="0028629A">
        <w:t>en climat de plaine</w:t>
      </w:r>
      <w:r>
        <w:t>.</w:t>
      </w:r>
    </w:p>
    <w:p w:rsidR="00686E4A" w:rsidRDefault="00686E4A" w:rsidP="00686E4A">
      <w:pPr>
        <w:pStyle w:val="Style1"/>
        <w:numPr>
          <w:ilvl w:val="0"/>
          <w:numId w:val="1"/>
        </w:numPr>
        <w:spacing w:after="0"/>
        <w:ind w:left="738"/>
      </w:pPr>
      <w:r>
        <w:t>DTU n° 43.5</w:t>
      </w:r>
      <w:r>
        <w:tab/>
        <w:t xml:space="preserve">Réfection des ouvrages d’étanchéité des toitures terrasses ou inclinées. </w:t>
      </w:r>
    </w:p>
    <w:p w:rsidR="00686E4A" w:rsidRPr="0039731A" w:rsidRDefault="00686E4A" w:rsidP="00686E4A">
      <w:pPr>
        <w:numPr>
          <w:ilvl w:val="0"/>
          <w:numId w:val="1"/>
        </w:numPr>
        <w:spacing w:after="0"/>
      </w:pPr>
      <w:r w:rsidRPr="00392BB9">
        <w:t>Normes, lois, décrets, arrêtés, circulaires et instructions ministériels, préfectoraux, communaux en</w:t>
      </w:r>
      <w:r>
        <w:t xml:space="preserve"> </w:t>
      </w:r>
      <w:r w:rsidRPr="00392BB9">
        <w:t>vigueur et non cités. Les textes auxquels les documents précédents font référence et les textes d’application qui en découlent</w:t>
      </w:r>
      <w:r>
        <w:t>.</w:t>
      </w:r>
    </w:p>
    <w:p w:rsidR="00E45C0C" w:rsidRDefault="00E45C0C" w:rsidP="00E45C0C"/>
    <w:p w:rsidR="00E45C0C" w:rsidRPr="00CB7AB0" w:rsidRDefault="00E45C0C" w:rsidP="00E45C0C">
      <w:pPr>
        <w:pStyle w:val="Titre2"/>
      </w:pPr>
      <w:bookmarkStart w:id="11" w:name="_Toc191052341"/>
      <w:r w:rsidRPr="00CB7AB0">
        <w:t xml:space="preserve">ARTICLE </w:t>
      </w:r>
      <w:r>
        <w:t>4</w:t>
      </w:r>
      <w:r w:rsidRPr="00CB7AB0">
        <w:t xml:space="preserve">. </w:t>
      </w:r>
      <w:r>
        <w:t>MATERIELS CONCERNES</w:t>
      </w:r>
      <w:bookmarkEnd w:id="11"/>
    </w:p>
    <w:p w:rsidR="00E45C0C" w:rsidRPr="00AA1F3B" w:rsidRDefault="00E45C0C" w:rsidP="00E45C0C">
      <w:pPr>
        <w:spacing w:before="120"/>
      </w:pPr>
      <w:r w:rsidRPr="00AA1F3B">
        <w:t xml:space="preserve">Les ouvrages concernés par le présent </w:t>
      </w:r>
      <w:r w:rsidR="008E4DEC">
        <w:t>chapitre</w:t>
      </w:r>
      <w:r w:rsidRPr="00AA1F3B">
        <w:t xml:space="preserve"> concernent les équipements suivants :</w:t>
      </w:r>
    </w:p>
    <w:p w:rsidR="006F7D49" w:rsidRPr="006043CD" w:rsidRDefault="006F7D49" w:rsidP="006F7D49">
      <w:pPr>
        <w:spacing w:before="120"/>
        <w:rPr>
          <w:sz w:val="20"/>
          <w:szCs w:val="20"/>
        </w:rPr>
      </w:pPr>
      <w:r w:rsidRPr="006043CD">
        <w:rPr>
          <w:sz w:val="20"/>
          <w:szCs w:val="20"/>
        </w:rPr>
        <w:t xml:space="preserve">Les installations comprises dans </w:t>
      </w:r>
      <w:r>
        <w:rPr>
          <w:sz w:val="20"/>
          <w:szCs w:val="20"/>
        </w:rPr>
        <w:t>le sous poste</w:t>
      </w:r>
      <w:r w:rsidRPr="006043CD">
        <w:rPr>
          <w:sz w:val="20"/>
          <w:szCs w:val="20"/>
        </w:rPr>
        <w:t xml:space="preserve"> « TOITURES » </w:t>
      </w:r>
      <w:r>
        <w:rPr>
          <w:sz w:val="20"/>
          <w:szCs w:val="20"/>
        </w:rPr>
        <w:t xml:space="preserve">portent sur </w:t>
      </w:r>
      <w:r w:rsidRPr="006043CD">
        <w:rPr>
          <w:sz w:val="20"/>
          <w:szCs w:val="20"/>
        </w:rPr>
        <w:t xml:space="preserve">l’ensemble des </w:t>
      </w:r>
      <w:r>
        <w:rPr>
          <w:sz w:val="20"/>
          <w:szCs w:val="20"/>
        </w:rPr>
        <w:t>couvertures des bâtiments au périmètre du marché</w:t>
      </w:r>
      <w:r w:rsidRPr="006043CD">
        <w:rPr>
          <w:sz w:val="20"/>
          <w:szCs w:val="20"/>
        </w:rPr>
        <w:t xml:space="preserve">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Toitures terrasses de type étanchéité bitumineuse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Toitures terrasses de type étanchéité bitumineuse avec protection gravillons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Toitures terrasses de type dalle béton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Toitures terrasses de type membrane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Toitures autres que terrasses</w:t>
      </w:r>
      <w:r>
        <w:rPr>
          <w:rFonts w:cs="Calibri"/>
          <w:sz w:val="20"/>
          <w:szCs w:val="20"/>
        </w:rPr>
        <w:t xml:space="preserve"> : ardoises, tuiles, etc. </w:t>
      </w:r>
      <w:r w:rsidRPr="006043CD">
        <w:rPr>
          <w:rFonts w:cs="Calibri"/>
          <w:sz w:val="20"/>
          <w:szCs w:val="20"/>
        </w:rPr>
        <w:t xml:space="preserve">;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Mètre linéaire de chéneaux sur toitures autres que terrasses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Mètre linéaire de gouttières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 xml:space="preserve">Les lanterneaux ouvrables ou non ouvrables ; </w:t>
      </w:r>
    </w:p>
    <w:p w:rsidR="006F7D49" w:rsidRPr="006043CD" w:rsidRDefault="006F7D49" w:rsidP="006F7D49">
      <w:pPr>
        <w:numPr>
          <w:ilvl w:val="0"/>
          <w:numId w:val="9"/>
        </w:numPr>
        <w:tabs>
          <w:tab w:val="num" w:pos="284"/>
        </w:tabs>
        <w:spacing w:before="40" w:after="0"/>
        <w:ind w:left="284" w:hanging="284"/>
        <w:rPr>
          <w:rFonts w:cs="Calibri"/>
          <w:sz w:val="20"/>
          <w:szCs w:val="20"/>
        </w:rPr>
      </w:pPr>
      <w:r w:rsidRPr="006043CD">
        <w:rPr>
          <w:rFonts w:cs="Calibri"/>
          <w:sz w:val="20"/>
          <w:szCs w:val="20"/>
        </w:rPr>
        <w:t>Les lignes de vie et chemins techniques associés</w:t>
      </w:r>
      <w:r>
        <w:rPr>
          <w:rFonts w:cs="Calibri"/>
          <w:sz w:val="20"/>
          <w:szCs w:val="20"/>
        </w:rPr>
        <w:t xml:space="preserve"> </w:t>
      </w:r>
      <w:r w:rsidRPr="006043CD">
        <w:rPr>
          <w:rFonts w:cs="Calibri"/>
          <w:sz w:val="20"/>
          <w:szCs w:val="20"/>
        </w:rPr>
        <w:t xml:space="preserve">; </w:t>
      </w:r>
    </w:p>
    <w:p w:rsidR="006F7D49" w:rsidRDefault="006F7D49" w:rsidP="006F7D49">
      <w:pPr>
        <w:numPr>
          <w:ilvl w:val="0"/>
          <w:numId w:val="9"/>
        </w:numPr>
        <w:tabs>
          <w:tab w:val="num" w:pos="284"/>
        </w:tabs>
        <w:spacing w:before="40" w:after="0"/>
        <w:ind w:left="284" w:hanging="284"/>
        <w:rPr>
          <w:rFonts w:cs="Calibri"/>
          <w:sz w:val="20"/>
          <w:szCs w:val="20"/>
        </w:rPr>
      </w:pPr>
      <w:r>
        <w:rPr>
          <w:rFonts w:cs="Calibri"/>
          <w:sz w:val="20"/>
          <w:szCs w:val="20"/>
        </w:rPr>
        <w:t>Chemins techniques ;</w:t>
      </w:r>
    </w:p>
    <w:p w:rsidR="006F7D49" w:rsidRPr="00B94AD5" w:rsidRDefault="006F7D49" w:rsidP="006F7D49">
      <w:pPr>
        <w:numPr>
          <w:ilvl w:val="0"/>
          <w:numId w:val="9"/>
        </w:numPr>
        <w:tabs>
          <w:tab w:val="num" w:pos="284"/>
        </w:tabs>
        <w:spacing w:before="40" w:after="0"/>
        <w:ind w:left="284" w:hanging="284"/>
        <w:rPr>
          <w:rFonts w:cs="Calibri"/>
          <w:sz w:val="20"/>
          <w:szCs w:val="20"/>
        </w:rPr>
      </w:pPr>
      <w:r w:rsidRPr="00B94AD5">
        <w:rPr>
          <w:rFonts w:cs="Calibri"/>
          <w:sz w:val="20"/>
          <w:szCs w:val="20"/>
        </w:rPr>
        <w:t>Garde de corps ;</w:t>
      </w:r>
    </w:p>
    <w:p w:rsidR="006F7D49" w:rsidRPr="00730537" w:rsidRDefault="006F7D49" w:rsidP="006F7D49">
      <w:pPr>
        <w:numPr>
          <w:ilvl w:val="0"/>
          <w:numId w:val="9"/>
        </w:numPr>
        <w:tabs>
          <w:tab w:val="num" w:pos="284"/>
        </w:tabs>
        <w:spacing w:before="40" w:after="0"/>
        <w:ind w:left="284" w:hanging="284"/>
        <w:rPr>
          <w:rFonts w:cs="Calibri"/>
          <w:sz w:val="20"/>
          <w:szCs w:val="20"/>
        </w:rPr>
      </w:pPr>
      <w:r w:rsidRPr="00730537">
        <w:rPr>
          <w:rFonts w:cs="Calibri"/>
          <w:sz w:val="20"/>
          <w:szCs w:val="20"/>
        </w:rPr>
        <w:t xml:space="preserve">Menuiseries extérieures ; </w:t>
      </w:r>
    </w:p>
    <w:p w:rsidR="00E45C0C" w:rsidRDefault="006F7D49" w:rsidP="006F7D49">
      <w:pPr>
        <w:rPr>
          <w:sz w:val="20"/>
          <w:szCs w:val="20"/>
        </w:rPr>
      </w:pPr>
      <w:r w:rsidRPr="006043CD">
        <w:rPr>
          <w:sz w:val="20"/>
          <w:szCs w:val="20"/>
        </w:rPr>
        <w:t>Et d’une manière générale tous les équipements secondaires et accessoires dédiés à la fonction « couverture et toitures terrasses ».</w:t>
      </w:r>
    </w:p>
    <w:p w:rsidR="008E4DEC" w:rsidRDefault="00763583" w:rsidP="006F7D49">
      <w:r>
        <w:rPr>
          <w:sz w:val="20"/>
          <w:szCs w:val="20"/>
        </w:rPr>
        <w:t>Dans le dossier CAT</w:t>
      </w:r>
      <w:r w:rsidR="008E4DEC">
        <w:rPr>
          <w:sz w:val="20"/>
          <w:szCs w:val="20"/>
        </w:rPr>
        <w:t xml:space="preserve"> 09 vous </w:t>
      </w:r>
      <w:r>
        <w:rPr>
          <w:sz w:val="20"/>
          <w:szCs w:val="20"/>
        </w:rPr>
        <w:t>trouverez la</w:t>
      </w:r>
      <w:r w:rsidR="008E4DEC">
        <w:rPr>
          <w:sz w:val="20"/>
          <w:szCs w:val="20"/>
        </w:rPr>
        <w:t xml:space="preserve"> description des </w:t>
      </w:r>
      <w:r w:rsidR="00FC44AB">
        <w:rPr>
          <w:sz w:val="20"/>
          <w:szCs w:val="20"/>
        </w:rPr>
        <w:t>toitures des sites soutenus.</w:t>
      </w:r>
    </w:p>
    <w:p w:rsidR="00E45C0C" w:rsidRPr="00CB7AB0" w:rsidRDefault="00E45C0C" w:rsidP="00E45C0C">
      <w:pPr>
        <w:pStyle w:val="Titre2"/>
      </w:pPr>
      <w:bookmarkStart w:id="12" w:name="_Toc191052342"/>
      <w:r w:rsidRPr="00CB7AB0">
        <w:t xml:space="preserve">ARTICLE </w:t>
      </w:r>
      <w:r>
        <w:t>5</w:t>
      </w:r>
      <w:r w:rsidRPr="00CB7AB0">
        <w:t xml:space="preserve">. </w:t>
      </w:r>
      <w:r>
        <w:t>LIMITES DE PRESTATIONS</w:t>
      </w:r>
      <w:bookmarkEnd w:id="12"/>
    </w:p>
    <w:p w:rsidR="006F7D49" w:rsidRPr="001464ED" w:rsidRDefault="006F7D49" w:rsidP="006F7D49">
      <w:pPr>
        <w:spacing w:before="120"/>
        <w:rPr>
          <w:sz w:val="20"/>
          <w:szCs w:val="20"/>
        </w:rPr>
      </w:pPr>
      <w:r w:rsidRPr="001464ED">
        <w:rPr>
          <w:sz w:val="20"/>
          <w:szCs w:val="20"/>
        </w:rPr>
        <w:t>Le titulaire prend en charge tous les équipements en l’état, en service ou à l’arrêt, et pour l’</w:t>
      </w:r>
      <w:r>
        <w:rPr>
          <w:sz w:val="20"/>
          <w:szCs w:val="20"/>
        </w:rPr>
        <w:t>ensemble des composants au périmètre du marché.</w:t>
      </w:r>
    </w:p>
    <w:p w:rsidR="006F7D49" w:rsidRPr="001464ED" w:rsidRDefault="006F7D49" w:rsidP="006F7D49">
      <w:pPr>
        <w:rPr>
          <w:b/>
          <w:sz w:val="20"/>
          <w:szCs w:val="20"/>
        </w:rPr>
      </w:pPr>
      <w:r>
        <w:rPr>
          <w:b/>
          <w:sz w:val="20"/>
          <w:szCs w:val="20"/>
        </w:rPr>
        <w:t>5-1</w:t>
      </w:r>
      <w:r w:rsidRPr="001464ED">
        <w:rPr>
          <w:b/>
          <w:sz w:val="20"/>
          <w:szCs w:val="20"/>
        </w:rPr>
        <w:t xml:space="preserve"> </w:t>
      </w:r>
      <w:r>
        <w:rPr>
          <w:b/>
          <w:sz w:val="20"/>
          <w:szCs w:val="20"/>
        </w:rPr>
        <w:t xml:space="preserve">Désenfumage commandé par le </w:t>
      </w:r>
      <w:r w:rsidRPr="001464ED">
        <w:rPr>
          <w:b/>
          <w:sz w:val="20"/>
          <w:szCs w:val="20"/>
        </w:rPr>
        <w:t>Système de Sécurité Incendie</w:t>
      </w:r>
    </w:p>
    <w:p w:rsidR="006F7D49" w:rsidRPr="001464ED" w:rsidRDefault="006F7D49" w:rsidP="006F7D49">
      <w:pPr>
        <w:spacing w:before="120"/>
        <w:rPr>
          <w:sz w:val="20"/>
          <w:szCs w:val="20"/>
        </w:rPr>
      </w:pPr>
      <w:r w:rsidRPr="001464ED">
        <w:rPr>
          <w:sz w:val="20"/>
          <w:szCs w:val="20"/>
        </w:rPr>
        <w:t xml:space="preserve">Les </w:t>
      </w:r>
      <w:r>
        <w:rPr>
          <w:sz w:val="20"/>
          <w:szCs w:val="20"/>
        </w:rPr>
        <w:t>dispositifs de désenfumage asservis à la centrale de détection incendie relève du sous poste 6 et bénéficie à ce titre de la garantie Totale</w:t>
      </w:r>
      <w:r w:rsidRPr="001464ED">
        <w:rPr>
          <w:sz w:val="20"/>
          <w:szCs w:val="20"/>
        </w:rPr>
        <w:t>.</w:t>
      </w:r>
    </w:p>
    <w:p w:rsidR="006F7D49" w:rsidRDefault="006F7D49" w:rsidP="006F7D49">
      <w:pPr>
        <w:spacing w:before="120"/>
        <w:rPr>
          <w:sz w:val="20"/>
          <w:szCs w:val="20"/>
        </w:rPr>
      </w:pPr>
      <w:r w:rsidRPr="001464ED">
        <w:rPr>
          <w:sz w:val="20"/>
          <w:szCs w:val="20"/>
        </w:rPr>
        <w:t xml:space="preserve">En revanche, </w:t>
      </w:r>
      <w:r>
        <w:rPr>
          <w:sz w:val="20"/>
          <w:szCs w:val="20"/>
        </w:rPr>
        <w:t>les puits de lumière, lanterneaux lanterneau d’éclairage sont au périmètre technique du présent sous poste 9.</w:t>
      </w:r>
    </w:p>
    <w:p w:rsidR="006F7D49" w:rsidRPr="001464ED" w:rsidRDefault="006F7D49" w:rsidP="006F7D49">
      <w:pPr>
        <w:rPr>
          <w:b/>
          <w:sz w:val="20"/>
          <w:szCs w:val="20"/>
        </w:rPr>
      </w:pPr>
      <w:r>
        <w:rPr>
          <w:b/>
          <w:sz w:val="20"/>
          <w:szCs w:val="20"/>
        </w:rPr>
        <w:t>5-2</w:t>
      </w:r>
      <w:r w:rsidRPr="001464ED">
        <w:rPr>
          <w:b/>
          <w:sz w:val="20"/>
          <w:szCs w:val="20"/>
        </w:rPr>
        <w:t xml:space="preserve"> Etanchéité</w:t>
      </w:r>
    </w:p>
    <w:p w:rsidR="006F7D49" w:rsidRPr="001464ED" w:rsidRDefault="006F7D49" w:rsidP="006F7D49">
      <w:pPr>
        <w:spacing w:before="120"/>
        <w:rPr>
          <w:sz w:val="20"/>
          <w:szCs w:val="20"/>
        </w:rPr>
      </w:pPr>
      <w:r w:rsidRPr="001464ED">
        <w:rPr>
          <w:sz w:val="20"/>
          <w:szCs w:val="20"/>
        </w:rPr>
        <w:t xml:space="preserve">Les reprises d’étanchéité autour des traversées en toiture ou en terrasse des conduits de chauffage, ventilation, climatisation, désenfumage, électricité relèvent du </w:t>
      </w:r>
      <w:r>
        <w:rPr>
          <w:sz w:val="20"/>
          <w:szCs w:val="20"/>
        </w:rPr>
        <w:t xml:space="preserve">présent </w:t>
      </w:r>
      <w:r w:rsidRPr="001464ED">
        <w:rPr>
          <w:sz w:val="20"/>
          <w:szCs w:val="20"/>
        </w:rPr>
        <w:t>sous poste 7.</w:t>
      </w:r>
    </w:p>
    <w:p w:rsidR="006F7D49" w:rsidRDefault="006F7D49" w:rsidP="006F7D49">
      <w:pPr>
        <w:spacing w:before="120"/>
        <w:rPr>
          <w:sz w:val="20"/>
          <w:szCs w:val="20"/>
        </w:rPr>
      </w:pPr>
      <w:r w:rsidRPr="001464ED">
        <w:rPr>
          <w:sz w:val="20"/>
          <w:szCs w:val="20"/>
        </w:rPr>
        <w:t>L’étanchéité entre les fourreaux et les conduits, ainsi que toutes pièces réalisées en tôle, placées sur les conduits, destinées à préserver les introductions d’eau dans le bâti, sont à prendre en charge par le titulaire au titre du présent contrat.</w:t>
      </w:r>
    </w:p>
    <w:p w:rsidR="006F7D49" w:rsidRPr="001464ED" w:rsidRDefault="006F7D49" w:rsidP="006F7D49">
      <w:pPr>
        <w:rPr>
          <w:b/>
          <w:sz w:val="20"/>
          <w:szCs w:val="20"/>
        </w:rPr>
      </w:pPr>
      <w:r>
        <w:rPr>
          <w:b/>
          <w:sz w:val="20"/>
          <w:szCs w:val="20"/>
        </w:rPr>
        <w:t>5-3</w:t>
      </w:r>
      <w:r w:rsidRPr="001464ED">
        <w:rPr>
          <w:b/>
          <w:sz w:val="20"/>
          <w:szCs w:val="20"/>
        </w:rPr>
        <w:t xml:space="preserve"> Evacuation des déchets</w:t>
      </w:r>
    </w:p>
    <w:p w:rsidR="006F7D49" w:rsidRDefault="006F7D49" w:rsidP="006F7D49">
      <w:pPr>
        <w:rPr>
          <w:sz w:val="20"/>
          <w:szCs w:val="20"/>
        </w:rPr>
      </w:pPr>
      <w:r w:rsidRPr="001464ED">
        <w:rPr>
          <w:sz w:val="20"/>
          <w:szCs w:val="20"/>
        </w:rPr>
        <w:t xml:space="preserve">La récupération, l’enlèvement, la traçabilité et le traitement des déchets résultant de chaque intervention sont à la charge du titulaire. En particulier le Titulaire doit au titre des prix forfaitaires annuels la prise en charge du traitement des </w:t>
      </w:r>
      <w:r>
        <w:rPr>
          <w:sz w:val="20"/>
          <w:szCs w:val="20"/>
        </w:rPr>
        <w:t>déchets amiantes pour les travaux réalisés en sous-section 4</w:t>
      </w:r>
      <w:r w:rsidRPr="001464ED">
        <w:rPr>
          <w:sz w:val="20"/>
          <w:szCs w:val="20"/>
        </w:rPr>
        <w:t>. La propreté des lieux de travail en fin de travaux constitue une condition d’acceptation de la prestation.</w:t>
      </w:r>
    </w:p>
    <w:p w:rsidR="00FF6CCB" w:rsidRPr="00F867F4" w:rsidRDefault="00FF6CCB" w:rsidP="00FF6CCB">
      <w:pPr>
        <w:rPr>
          <w:b/>
          <w:sz w:val="20"/>
          <w:szCs w:val="20"/>
        </w:rPr>
      </w:pPr>
      <w:r>
        <w:rPr>
          <w:b/>
          <w:sz w:val="20"/>
          <w:szCs w:val="20"/>
        </w:rPr>
        <w:t>5-4</w:t>
      </w:r>
      <w:r w:rsidRPr="001464ED">
        <w:rPr>
          <w:b/>
          <w:sz w:val="20"/>
          <w:szCs w:val="20"/>
        </w:rPr>
        <w:t xml:space="preserve"> </w:t>
      </w:r>
      <w:r>
        <w:rPr>
          <w:b/>
          <w:sz w:val="20"/>
          <w:szCs w:val="20"/>
        </w:rPr>
        <w:t>Traitement des toitures</w:t>
      </w:r>
    </w:p>
    <w:p w:rsidR="003D1816" w:rsidRPr="000C7982" w:rsidRDefault="00FF6CCB" w:rsidP="00E45C0C">
      <w:pPr>
        <w:rPr>
          <w:sz w:val="20"/>
          <w:szCs w:val="20"/>
        </w:rPr>
      </w:pPr>
      <w:r w:rsidRPr="00F867F4">
        <w:rPr>
          <w:sz w:val="20"/>
          <w:szCs w:val="20"/>
        </w:rPr>
        <w:t>Les produits de traitement des toitures doivent être biodégradables à 90 % et compatibles avec tout matériel à leur contact.</w:t>
      </w:r>
    </w:p>
    <w:p w:rsidR="00E45C0C" w:rsidRPr="00CB7AB0" w:rsidRDefault="00E45C0C" w:rsidP="00E45C0C">
      <w:pPr>
        <w:pStyle w:val="Titre2"/>
      </w:pPr>
      <w:bookmarkStart w:id="13" w:name="_Toc191052343"/>
      <w:r w:rsidRPr="00CB7AB0">
        <w:t xml:space="preserve">ARTICLE </w:t>
      </w:r>
      <w:r>
        <w:t>6</w:t>
      </w:r>
      <w:r w:rsidRPr="00CB7AB0">
        <w:t xml:space="preserve">. </w:t>
      </w:r>
      <w:r>
        <w:t>PRESTATIONS FORFAITAIRES</w:t>
      </w:r>
      <w:bookmarkEnd w:id="13"/>
    </w:p>
    <w:p w:rsidR="00686E4A" w:rsidRDefault="009476C1" w:rsidP="009476C1">
      <w:pPr>
        <w:pStyle w:val="Style1"/>
        <w:numPr>
          <w:ilvl w:val="1"/>
          <w:numId w:val="7"/>
        </w:numPr>
        <w:ind w:left="284" w:hanging="284"/>
        <w:rPr>
          <w:b/>
        </w:rPr>
      </w:pPr>
      <w:r>
        <w:rPr>
          <w:b/>
        </w:rPr>
        <w:t xml:space="preserve"> </w:t>
      </w:r>
      <w:r w:rsidR="00686E4A" w:rsidRPr="003B7053">
        <w:rPr>
          <w:b/>
        </w:rPr>
        <w:t xml:space="preserve">Prestations de </w:t>
      </w:r>
      <w:r w:rsidR="00686E4A">
        <w:rPr>
          <w:b/>
        </w:rPr>
        <w:t xml:space="preserve">maintenance </w:t>
      </w:r>
      <w:r w:rsidR="00D96000">
        <w:rPr>
          <w:b/>
        </w:rPr>
        <w:t>préventive.</w:t>
      </w:r>
    </w:p>
    <w:p w:rsidR="00D96000" w:rsidRPr="00D96000" w:rsidRDefault="00D96000" w:rsidP="009476C1">
      <w:pPr>
        <w:pStyle w:val="Paragraphedeliste"/>
        <w:spacing w:before="120"/>
        <w:ind w:left="0"/>
        <w:rPr>
          <w:rFonts w:cs="Calibri"/>
          <w:sz w:val="20"/>
          <w:szCs w:val="20"/>
        </w:rPr>
      </w:pPr>
      <w:r w:rsidRPr="00D96000">
        <w:rPr>
          <w:rFonts w:cs="Calibri"/>
          <w:sz w:val="20"/>
          <w:szCs w:val="20"/>
        </w:rPr>
        <w:t xml:space="preserve">Le titulaire doit une maintenance préventive sur un périmètre limité de toiture </w:t>
      </w:r>
      <w:r>
        <w:rPr>
          <w:rFonts w:cs="Calibri"/>
          <w:sz w:val="20"/>
          <w:szCs w:val="20"/>
        </w:rPr>
        <w:t xml:space="preserve">défini </w:t>
      </w:r>
      <w:r w:rsidRPr="00D96000">
        <w:rPr>
          <w:rFonts w:cs="Calibri"/>
          <w:sz w:val="20"/>
          <w:szCs w:val="20"/>
        </w:rPr>
        <w:t xml:space="preserve">de la présente spécification technique. A ce titre, le Titulaire doit un ensemble de prestations techniques qui relèvent de la règle de l’art du domaine de l’entretien des couvertures ainsi que de l’application des recommandations de la profession. Dans le cadre de la maintenance préventive, le Titulaire doit toute la main d’œuvre, les moyens d’accès (nacelle élévatrice, échafaudage) les fournitures et pièces détachées nécessaires aux opérations de maintenance préventive systématique. </w:t>
      </w:r>
    </w:p>
    <w:p w:rsidR="00D96000" w:rsidRDefault="00D96000" w:rsidP="00D96000">
      <w:pPr>
        <w:pStyle w:val="Style1"/>
        <w:ind w:left="1003"/>
        <w:rPr>
          <w:b/>
        </w:rPr>
      </w:pPr>
    </w:p>
    <w:p w:rsidR="00686E4A" w:rsidRPr="00D97FA8" w:rsidRDefault="00686E4A" w:rsidP="00686E4A">
      <w:pPr>
        <w:numPr>
          <w:ilvl w:val="0"/>
          <w:numId w:val="4"/>
        </w:numPr>
        <w:spacing w:before="120"/>
        <w:rPr>
          <w:u w:val="single"/>
        </w:rPr>
      </w:pPr>
      <w:r w:rsidRPr="00D97FA8">
        <w:rPr>
          <w:u w:val="single"/>
        </w:rPr>
        <w:t>Chéneaux, gouttières et descentes.</w:t>
      </w:r>
    </w:p>
    <w:p w:rsidR="00686E4A" w:rsidRPr="00D97FA8" w:rsidRDefault="00686E4A" w:rsidP="00686E4A">
      <w:pPr>
        <w:numPr>
          <w:ilvl w:val="0"/>
          <w:numId w:val="2"/>
        </w:numPr>
        <w:spacing w:before="60" w:after="60"/>
        <w:ind w:left="714" w:hanging="357"/>
      </w:pPr>
      <w:r w:rsidRPr="00D97FA8">
        <w:t>Examen général des ouvrages visibles,</w:t>
      </w:r>
    </w:p>
    <w:p w:rsidR="00686E4A" w:rsidRPr="00D97FA8" w:rsidRDefault="00686E4A" w:rsidP="00686E4A">
      <w:pPr>
        <w:numPr>
          <w:ilvl w:val="0"/>
          <w:numId w:val="2"/>
        </w:numPr>
        <w:spacing w:before="60" w:after="60"/>
        <w:ind w:left="714" w:hanging="357"/>
      </w:pPr>
      <w:r w:rsidRPr="00D97FA8">
        <w:t>Nettoyage, enlèvement des feuilles et mise à la décharge des détritus,</w:t>
      </w:r>
    </w:p>
    <w:p w:rsidR="00686E4A" w:rsidRPr="00D97FA8" w:rsidRDefault="00686E4A" w:rsidP="00686E4A">
      <w:pPr>
        <w:numPr>
          <w:ilvl w:val="0"/>
          <w:numId w:val="2"/>
        </w:numPr>
        <w:spacing w:before="60" w:after="60"/>
        <w:ind w:left="714" w:hanging="357"/>
      </w:pPr>
      <w:r w:rsidRPr="00D97FA8">
        <w:t>Remise en place des gouttières</w:t>
      </w:r>
      <w:r>
        <w:t xml:space="preserve"> </w:t>
      </w:r>
      <w:r w:rsidRPr="00D97FA8">
        <w:t>et descentes déboîtées y compris le remplacement des crochets défectueux ou manquants,</w:t>
      </w:r>
    </w:p>
    <w:p w:rsidR="00686E4A" w:rsidRPr="00D97FA8" w:rsidRDefault="00686E4A" w:rsidP="00686E4A">
      <w:pPr>
        <w:numPr>
          <w:ilvl w:val="0"/>
          <w:numId w:val="2"/>
        </w:numPr>
        <w:spacing w:before="60" w:after="60"/>
        <w:ind w:left="714" w:hanging="357"/>
      </w:pPr>
      <w:r w:rsidRPr="00D97FA8">
        <w:t>Remplacement ou remise en place des crapaudines,</w:t>
      </w:r>
    </w:p>
    <w:p w:rsidR="00686E4A" w:rsidRPr="00D97FA8" w:rsidRDefault="00686E4A" w:rsidP="00686E4A">
      <w:pPr>
        <w:numPr>
          <w:ilvl w:val="0"/>
          <w:numId w:val="2"/>
        </w:numPr>
        <w:spacing w:before="60" w:after="60"/>
        <w:ind w:left="714" w:hanging="357"/>
      </w:pPr>
      <w:r w:rsidRPr="00D97FA8">
        <w:t>Vérification du bon fonctionnement des descentes et débouchage le cas échéant,</w:t>
      </w:r>
    </w:p>
    <w:p w:rsidR="00686E4A" w:rsidRPr="00D97FA8" w:rsidRDefault="00686E4A" w:rsidP="00686E4A">
      <w:pPr>
        <w:numPr>
          <w:ilvl w:val="0"/>
          <w:numId w:val="2"/>
        </w:numPr>
        <w:spacing w:before="60" w:after="60"/>
        <w:ind w:left="714" w:hanging="357"/>
      </w:pPr>
      <w:r w:rsidRPr="00D97FA8">
        <w:t>Nettoyage des pieds de chute accessibles à l’aide de matériel adapté (regard d’eaux pluviales, tampon de visite, …)</w:t>
      </w:r>
    </w:p>
    <w:p w:rsidR="00686E4A" w:rsidRDefault="00686E4A" w:rsidP="003B424C">
      <w:pPr>
        <w:spacing w:before="120"/>
        <w:rPr>
          <w:u w:val="single"/>
        </w:rPr>
        <w:sectPr w:rsidR="00686E4A" w:rsidSect="006651E9">
          <w:pgSz w:w="11906" w:h="16838"/>
          <w:pgMar w:top="709" w:right="993" w:bottom="993" w:left="993" w:header="284" w:footer="337" w:gutter="0"/>
          <w:cols w:space="708"/>
          <w:docGrid w:linePitch="360"/>
        </w:sectPr>
      </w:pPr>
    </w:p>
    <w:p w:rsidR="00686E4A" w:rsidRPr="003B424C" w:rsidRDefault="00686E4A" w:rsidP="00E1690D">
      <w:pPr>
        <w:pStyle w:val="Paragraphedeliste"/>
        <w:numPr>
          <w:ilvl w:val="0"/>
          <w:numId w:val="10"/>
        </w:numPr>
        <w:spacing w:before="120"/>
        <w:ind w:left="284" w:hanging="284"/>
        <w:rPr>
          <w:u w:val="single"/>
        </w:rPr>
      </w:pPr>
      <w:r w:rsidRPr="003B424C">
        <w:rPr>
          <w:u w:val="single"/>
        </w:rPr>
        <w:t>Toitures terrasses gravillonnées.</w:t>
      </w:r>
    </w:p>
    <w:p w:rsidR="00686E4A" w:rsidRPr="00D97FA8" w:rsidRDefault="00686E4A" w:rsidP="00E1690D">
      <w:pPr>
        <w:numPr>
          <w:ilvl w:val="0"/>
          <w:numId w:val="2"/>
        </w:numPr>
        <w:spacing w:before="60" w:after="60"/>
        <w:ind w:left="284" w:hanging="284"/>
      </w:pPr>
      <w:r w:rsidRPr="00D97FA8">
        <w:t>L’enlèvement des mousses, herbes, végétation, menus objets et mise à la décharge des</w:t>
      </w:r>
      <w:r>
        <w:t xml:space="preserve"> </w:t>
      </w:r>
      <w:r w:rsidRPr="00D97FA8">
        <w:t>détritus,</w:t>
      </w:r>
    </w:p>
    <w:p w:rsidR="00686E4A" w:rsidRPr="00D97FA8" w:rsidRDefault="00686E4A" w:rsidP="00E1690D">
      <w:pPr>
        <w:numPr>
          <w:ilvl w:val="0"/>
          <w:numId w:val="2"/>
        </w:numPr>
        <w:tabs>
          <w:tab w:val="left" w:pos="284"/>
        </w:tabs>
        <w:spacing w:before="60" w:after="60"/>
        <w:ind w:left="284" w:hanging="284"/>
      </w:pPr>
      <w:r w:rsidRPr="00D97FA8">
        <w:t>Examens général des ouvrages d’étanchéité visibles,</w:t>
      </w:r>
    </w:p>
    <w:p w:rsidR="00686E4A" w:rsidRPr="00D97FA8" w:rsidRDefault="00686E4A" w:rsidP="00E1690D">
      <w:pPr>
        <w:numPr>
          <w:ilvl w:val="0"/>
          <w:numId w:val="2"/>
        </w:numPr>
        <w:spacing w:before="60" w:after="60"/>
        <w:ind w:left="284" w:hanging="284"/>
      </w:pPr>
      <w:r w:rsidRPr="00D97FA8">
        <w:t>Ratissage, remise à niveau des gravillons, remise en ordre éventuelle des protections</w:t>
      </w:r>
      <w:r>
        <w:t xml:space="preserve"> </w:t>
      </w:r>
      <w:r w:rsidRPr="00D97FA8">
        <w:t>meubles,</w:t>
      </w:r>
    </w:p>
    <w:p w:rsidR="00686E4A" w:rsidRPr="00D97FA8" w:rsidRDefault="00686E4A" w:rsidP="00E1690D">
      <w:pPr>
        <w:numPr>
          <w:ilvl w:val="0"/>
          <w:numId w:val="2"/>
        </w:numPr>
        <w:spacing w:before="60" w:after="60"/>
        <w:ind w:left="284" w:hanging="284"/>
      </w:pPr>
      <w:r w:rsidRPr="00D97FA8">
        <w:t>Inspection de tous les ouvrages complémentaires visibles sur la toiture, notamment souches,</w:t>
      </w:r>
      <w:r>
        <w:t xml:space="preserve"> </w:t>
      </w:r>
      <w:r w:rsidRPr="00D97FA8">
        <w:t>édicules, lanterneaux, acrotères, ventilations, zinguerie, bandeaux, bande solin, couvertine,</w:t>
      </w:r>
      <w:r>
        <w:t xml:space="preserve"> </w:t>
      </w:r>
      <w:r w:rsidRPr="00D97FA8">
        <w:t>bande de rive, verrières et remise en état le cas échéant,</w:t>
      </w:r>
    </w:p>
    <w:p w:rsidR="00686E4A" w:rsidRPr="00D97FA8" w:rsidRDefault="00686E4A" w:rsidP="00E1690D">
      <w:pPr>
        <w:numPr>
          <w:ilvl w:val="0"/>
          <w:numId w:val="2"/>
        </w:numPr>
        <w:spacing w:before="60" w:after="60"/>
        <w:ind w:left="284" w:hanging="284"/>
      </w:pPr>
      <w:r w:rsidRPr="00D97FA8">
        <w:t>Vérification des relevés d’étanchéité,</w:t>
      </w:r>
    </w:p>
    <w:p w:rsidR="00686E4A" w:rsidRPr="00D97FA8" w:rsidRDefault="00686E4A" w:rsidP="00E1690D">
      <w:pPr>
        <w:numPr>
          <w:ilvl w:val="0"/>
          <w:numId w:val="2"/>
        </w:numPr>
        <w:spacing w:before="60" w:after="60"/>
        <w:ind w:left="284" w:hanging="284"/>
      </w:pPr>
      <w:r w:rsidRPr="00D97FA8">
        <w:t>Maintien en bon fonctionnement des évacuations d’eaux pluviales,</w:t>
      </w:r>
    </w:p>
    <w:p w:rsidR="00686E4A" w:rsidRPr="00D97FA8" w:rsidRDefault="00686E4A" w:rsidP="00E1690D">
      <w:pPr>
        <w:numPr>
          <w:ilvl w:val="0"/>
          <w:numId w:val="2"/>
        </w:numPr>
        <w:spacing w:before="60" w:after="60"/>
        <w:ind w:left="284" w:hanging="284"/>
      </w:pPr>
      <w:r w:rsidRPr="00D97FA8">
        <w:t>Remise en place des crapaudines et garde grève ou remplacement si usagés,</w:t>
      </w:r>
    </w:p>
    <w:p w:rsidR="00686E4A" w:rsidRDefault="00686E4A" w:rsidP="00E1690D">
      <w:pPr>
        <w:numPr>
          <w:ilvl w:val="0"/>
          <w:numId w:val="2"/>
        </w:numPr>
        <w:spacing w:before="60" w:after="60"/>
        <w:ind w:left="284" w:hanging="284"/>
      </w:pPr>
      <w:r w:rsidRPr="00D97FA8">
        <w:t xml:space="preserve">Traitement anti-mousse </w:t>
      </w:r>
      <w:r w:rsidR="000C7982" w:rsidRPr="00D97FA8">
        <w:t>(produit écologique et non nuisible à l’environnement, fournir une</w:t>
      </w:r>
      <w:r w:rsidR="000C7982">
        <w:t xml:space="preserve"> </w:t>
      </w:r>
      <w:r w:rsidR="000C7982" w:rsidRPr="00D97FA8">
        <w:t>fiche technique du produit proposer avant traitement</w:t>
      </w:r>
      <w:r w:rsidR="000C7982">
        <w:t xml:space="preserve"> pour validation de l’USID Brest).</w:t>
      </w:r>
    </w:p>
    <w:p w:rsidR="00686E4A" w:rsidRPr="00D97FA8" w:rsidRDefault="00686E4A" w:rsidP="00E1690D">
      <w:pPr>
        <w:numPr>
          <w:ilvl w:val="0"/>
          <w:numId w:val="5"/>
        </w:numPr>
        <w:spacing w:before="120"/>
        <w:ind w:left="284" w:hanging="284"/>
        <w:rPr>
          <w:u w:val="single"/>
        </w:rPr>
      </w:pPr>
      <w:r w:rsidRPr="00D97FA8">
        <w:rPr>
          <w:u w:val="single"/>
        </w:rPr>
        <w:t>Toitures</w:t>
      </w:r>
      <w:r>
        <w:rPr>
          <w:u w:val="single"/>
        </w:rPr>
        <w:t xml:space="preserve"> </w:t>
      </w:r>
      <w:r w:rsidRPr="00D97FA8">
        <w:rPr>
          <w:u w:val="single"/>
        </w:rPr>
        <w:t>terrasses auto-protégées.</w:t>
      </w:r>
    </w:p>
    <w:p w:rsidR="00686E4A" w:rsidRPr="00D97FA8" w:rsidRDefault="00686E4A" w:rsidP="00E1690D">
      <w:pPr>
        <w:numPr>
          <w:ilvl w:val="0"/>
          <w:numId w:val="2"/>
        </w:numPr>
        <w:spacing w:before="60" w:after="60"/>
        <w:ind w:left="284" w:hanging="284"/>
      </w:pPr>
      <w:r w:rsidRPr="00D97FA8">
        <w:t xml:space="preserve">L’enlèvement des boues, </w:t>
      </w:r>
      <w:r>
        <w:t xml:space="preserve">végétation, </w:t>
      </w:r>
      <w:r w:rsidRPr="00D97FA8">
        <w:t>limons, menus objets sur le revêtement auto-protégé apparent,</w:t>
      </w:r>
    </w:p>
    <w:p w:rsidR="00686E4A" w:rsidRPr="00D97FA8" w:rsidRDefault="00686E4A" w:rsidP="00E1690D">
      <w:pPr>
        <w:numPr>
          <w:ilvl w:val="0"/>
          <w:numId w:val="2"/>
        </w:numPr>
        <w:spacing w:before="60" w:after="60"/>
        <w:ind w:left="284" w:hanging="284"/>
      </w:pPr>
      <w:r w:rsidRPr="00D97FA8">
        <w:t>Examen général de la partie courante (exemples : joints longitudinaux et transversaux),</w:t>
      </w:r>
    </w:p>
    <w:p w:rsidR="00686E4A" w:rsidRPr="00D97FA8" w:rsidRDefault="00686E4A" w:rsidP="00E1690D">
      <w:pPr>
        <w:numPr>
          <w:ilvl w:val="0"/>
          <w:numId w:val="2"/>
        </w:numPr>
        <w:spacing w:before="60" w:after="60"/>
        <w:ind w:left="284" w:hanging="284"/>
      </w:pPr>
      <w:r w:rsidRPr="00D97FA8">
        <w:t>Inspection de tous les ouvrages complémentaires visibles sur la toiture, notamment souches,</w:t>
      </w:r>
      <w:r>
        <w:t xml:space="preserve"> </w:t>
      </w:r>
      <w:r w:rsidRPr="00D97FA8">
        <w:t>édicules, lanterneaux, ventilations, zinguerie, bandeaux, bande solin, couvertine, bande de</w:t>
      </w:r>
      <w:r>
        <w:t xml:space="preserve"> </w:t>
      </w:r>
      <w:r w:rsidRPr="00D97FA8">
        <w:t>rive, verrières et remise en état le cas échéant,</w:t>
      </w:r>
    </w:p>
    <w:p w:rsidR="00686E4A" w:rsidRPr="00D97FA8" w:rsidRDefault="00686E4A" w:rsidP="00E1690D">
      <w:pPr>
        <w:numPr>
          <w:ilvl w:val="0"/>
          <w:numId w:val="2"/>
        </w:numPr>
        <w:spacing w:before="60" w:after="60"/>
        <w:ind w:left="284" w:hanging="284"/>
      </w:pPr>
      <w:r w:rsidRPr="00D97FA8">
        <w:t>Maintien en bon fonctionnement des évacuations d’eaux pluviales,</w:t>
      </w:r>
    </w:p>
    <w:p w:rsidR="00686E4A" w:rsidRPr="00D97FA8" w:rsidRDefault="00686E4A" w:rsidP="00E1690D">
      <w:pPr>
        <w:numPr>
          <w:ilvl w:val="0"/>
          <w:numId w:val="2"/>
        </w:numPr>
        <w:spacing w:before="60" w:after="60"/>
        <w:ind w:left="284" w:hanging="284"/>
      </w:pPr>
      <w:r w:rsidRPr="00D97FA8">
        <w:t>Remise en place des crapaudines et garde grève ou remplacement si usagés</w:t>
      </w:r>
      <w:r>
        <w:t xml:space="preserve"> ou manquants</w:t>
      </w:r>
      <w:r w:rsidRPr="00D97FA8">
        <w:t>,</w:t>
      </w:r>
    </w:p>
    <w:p w:rsidR="00686E4A" w:rsidRDefault="00686E4A" w:rsidP="00E1690D">
      <w:pPr>
        <w:numPr>
          <w:ilvl w:val="0"/>
          <w:numId w:val="2"/>
        </w:numPr>
        <w:spacing w:before="60" w:after="60"/>
        <w:ind w:left="284" w:hanging="284"/>
      </w:pPr>
      <w:r w:rsidRPr="00D97FA8">
        <w:t xml:space="preserve">Traitement anti-mousse </w:t>
      </w:r>
      <w:r w:rsidR="009273C2" w:rsidRPr="00D97FA8">
        <w:t>(produit écologique et non nuisible à l’environnement, fournir une</w:t>
      </w:r>
      <w:r w:rsidR="009273C2">
        <w:t xml:space="preserve"> </w:t>
      </w:r>
      <w:r w:rsidR="009273C2" w:rsidRPr="00D97FA8">
        <w:t>fiche technique du produit proposer avant traitement</w:t>
      </w:r>
      <w:r w:rsidR="009273C2">
        <w:t xml:space="preserve"> pour validation de l’USID Brest).</w:t>
      </w:r>
    </w:p>
    <w:p w:rsidR="00686E4A" w:rsidRDefault="00686E4A" w:rsidP="00E1690D">
      <w:pPr>
        <w:spacing w:before="60" w:after="60"/>
        <w:ind w:left="284" w:hanging="284"/>
      </w:pPr>
    </w:p>
    <w:p w:rsidR="00686E4A" w:rsidRPr="00D97FA8" w:rsidRDefault="00686E4A" w:rsidP="00E1690D">
      <w:pPr>
        <w:numPr>
          <w:ilvl w:val="0"/>
          <w:numId w:val="5"/>
        </w:numPr>
        <w:spacing w:before="120"/>
        <w:ind w:left="284" w:hanging="284"/>
        <w:rPr>
          <w:u w:val="single"/>
        </w:rPr>
      </w:pPr>
      <w:r w:rsidRPr="00D97FA8">
        <w:rPr>
          <w:u w:val="single"/>
        </w:rPr>
        <w:t>Toitures</w:t>
      </w:r>
      <w:r>
        <w:rPr>
          <w:u w:val="single"/>
        </w:rPr>
        <w:t xml:space="preserve"> </w:t>
      </w:r>
      <w:r w:rsidRPr="00D97FA8">
        <w:rPr>
          <w:u w:val="single"/>
        </w:rPr>
        <w:t xml:space="preserve">terrasses </w:t>
      </w:r>
      <w:r>
        <w:rPr>
          <w:u w:val="single"/>
        </w:rPr>
        <w:t>accessibles</w:t>
      </w:r>
      <w:r w:rsidRPr="00D97FA8">
        <w:rPr>
          <w:u w:val="single"/>
        </w:rPr>
        <w:t>.</w:t>
      </w:r>
    </w:p>
    <w:p w:rsidR="00686E4A" w:rsidRPr="00623CFC" w:rsidRDefault="00686E4A" w:rsidP="00E1690D">
      <w:pPr>
        <w:numPr>
          <w:ilvl w:val="0"/>
          <w:numId w:val="2"/>
        </w:numPr>
        <w:spacing w:before="60" w:after="60"/>
        <w:ind w:left="284" w:hanging="284"/>
      </w:pPr>
      <w:r w:rsidRPr="00623CFC">
        <w:t>Examen général des ouvrages d’étanchéité visibles,</w:t>
      </w:r>
    </w:p>
    <w:p w:rsidR="00686E4A" w:rsidRPr="00623CFC" w:rsidRDefault="00686E4A" w:rsidP="00E1690D">
      <w:pPr>
        <w:numPr>
          <w:ilvl w:val="0"/>
          <w:numId w:val="2"/>
        </w:numPr>
        <w:spacing w:before="60" w:after="60"/>
        <w:ind w:left="284" w:hanging="284"/>
      </w:pPr>
      <w:r w:rsidRPr="00623CFC">
        <w:t>L’enlèvement des mousses, herbes, feuilles de la végétation et détritus divers,</w:t>
      </w:r>
    </w:p>
    <w:p w:rsidR="00686E4A" w:rsidRPr="00623CFC" w:rsidRDefault="00686E4A" w:rsidP="00E1690D">
      <w:pPr>
        <w:numPr>
          <w:ilvl w:val="0"/>
          <w:numId w:val="2"/>
        </w:numPr>
        <w:spacing w:before="60" w:after="60"/>
        <w:ind w:left="284" w:hanging="284"/>
      </w:pPr>
      <w:r w:rsidRPr="00623CFC">
        <w:t>Vérification et nettoyage des entrées d’eaux pluviales et des trop-pleins,</w:t>
      </w:r>
    </w:p>
    <w:p w:rsidR="00686E4A" w:rsidRPr="00623CFC" w:rsidRDefault="00686E4A" w:rsidP="00E1690D">
      <w:pPr>
        <w:numPr>
          <w:ilvl w:val="0"/>
          <w:numId w:val="2"/>
        </w:numPr>
        <w:spacing w:before="60" w:after="60"/>
        <w:ind w:left="284" w:hanging="284"/>
      </w:pPr>
      <w:r w:rsidRPr="00623CFC">
        <w:t>Maintien en bon fonctionnement des évacuations d’eaux pluviales,</w:t>
      </w:r>
    </w:p>
    <w:p w:rsidR="00686E4A" w:rsidRPr="00623CFC" w:rsidRDefault="00686E4A" w:rsidP="00E1690D">
      <w:pPr>
        <w:numPr>
          <w:ilvl w:val="0"/>
          <w:numId w:val="2"/>
        </w:numPr>
        <w:spacing w:before="60" w:after="60"/>
        <w:ind w:left="284" w:hanging="284"/>
      </w:pPr>
      <w:r w:rsidRPr="00623CFC">
        <w:t>Remise en place des crapaudines ou remplacement si usagées</w:t>
      </w:r>
      <w:r>
        <w:t xml:space="preserve"> ou manquantes</w:t>
      </w:r>
      <w:r w:rsidRPr="00623CFC">
        <w:t>,</w:t>
      </w:r>
    </w:p>
    <w:p w:rsidR="00686E4A" w:rsidRPr="00623CFC" w:rsidRDefault="00686E4A" w:rsidP="00E1690D">
      <w:pPr>
        <w:numPr>
          <w:ilvl w:val="0"/>
          <w:numId w:val="2"/>
        </w:numPr>
        <w:spacing w:before="60" w:after="60"/>
        <w:ind w:left="284" w:hanging="284"/>
      </w:pPr>
      <w:r w:rsidRPr="00623CFC">
        <w:t>Nettoyage complet des parties courantes du revêtement de circulation et du revêtement support des plots à jet d’eau,</w:t>
      </w:r>
    </w:p>
    <w:p w:rsidR="00686E4A" w:rsidRPr="00623CFC" w:rsidRDefault="00686E4A" w:rsidP="00E1690D">
      <w:pPr>
        <w:numPr>
          <w:ilvl w:val="0"/>
          <w:numId w:val="2"/>
        </w:numPr>
        <w:spacing w:before="60" w:after="60"/>
        <w:ind w:left="284" w:hanging="284"/>
      </w:pPr>
      <w:r w:rsidRPr="00623CFC">
        <w:t>Calage des dalles instables dans le cas où les contraintes d’exploitation le requièrent,</w:t>
      </w:r>
    </w:p>
    <w:p w:rsidR="00686E4A" w:rsidRDefault="00686E4A" w:rsidP="00E1690D">
      <w:pPr>
        <w:numPr>
          <w:ilvl w:val="0"/>
          <w:numId w:val="2"/>
        </w:numPr>
        <w:spacing w:before="60" w:after="60"/>
        <w:ind w:left="284" w:hanging="284"/>
      </w:pPr>
      <w:r w:rsidRPr="00623CFC">
        <w:t xml:space="preserve">Traitement anti-mousse </w:t>
      </w:r>
      <w:r w:rsidR="009273C2" w:rsidRPr="00D97FA8">
        <w:t>(produit écologique et non nuisible à l’environnement, fournir une</w:t>
      </w:r>
      <w:r w:rsidR="009273C2">
        <w:t xml:space="preserve"> </w:t>
      </w:r>
      <w:r w:rsidR="009273C2" w:rsidRPr="00D97FA8">
        <w:t>fiche technique du produit proposer avant traitement</w:t>
      </w:r>
      <w:r w:rsidR="009273C2">
        <w:t xml:space="preserve"> pour validation de l’USID Brest).</w:t>
      </w:r>
    </w:p>
    <w:p w:rsidR="0005409C" w:rsidRDefault="0005409C" w:rsidP="00E1690D">
      <w:pPr>
        <w:spacing w:before="60" w:after="60"/>
        <w:ind w:left="284" w:hanging="284"/>
      </w:pPr>
    </w:p>
    <w:p w:rsidR="0005409C" w:rsidRDefault="0005409C" w:rsidP="00E1690D">
      <w:pPr>
        <w:spacing w:before="60" w:after="60"/>
        <w:ind w:left="284" w:hanging="284"/>
      </w:pPr>
    </w:p>
    <w:p w:rsidR="00686E4A" w:rsidRPr="00D97FA8" w:rsidRDefault="00686E4A" w:rsidP="00E1690D">
      <w:pPr>
        <w:numPr>
          <w:ilvl w:val="0"/>
          <w:numId w:val="5"/>
        </w:numPr>
        <w:spacing w:before="120"/>
        <w:ind w:left="284" w:hanging="284"/>
        <w:rPr>
          <w:u w:val="single"/>
        </w:rPr>
      </w:pPr>
      <w:r>
        <w:rPr>
          <w:u w:val="single"/>
        </w:rPr>
        <w:t>Toitures tuiles, ardoises, shingle, bac sec</w:t>
      </w:r>
      <w:r w:rsidRPr="00D97FA8">
        <w:rPr>
          <w:u w:val="single"/>
        </w:rPr>
        <w:t>.</w:t>
      </w:r>
    </w:p>
    <w:p w:rsidR="00686E4A" w:rsidRPr="00623CFC" w:rsidRDefault="00686E4A" w:rsidP="00E1690D">
      <w:pPr>
        <w:numPr>
          <w:ilvl w:val="0"/>
          <w:numId w:val="2"/>
        </w:numPr>
        <w:spacing w:before="60" w:after="60"/>
        <w:ind w:left="284" w:hanging="284"/>
      </w:pPr>
      <w:r w:rsidRPr="00623CFC">
        <w:t>Examen général des ouvrages visibles,</w:t>
      </w:r>
    </w:p>
    <w:p w:rsidR="00686E4A" w:rsidRPr="00623CFC" w:rsidRDefault="00686E4A" w:rsidP="00E1690D">
      <w:pPr>
        <w:numPr>
          <w:ilvl w:val="0"/>
          <w:numId w:val="2"/>
        </w:numPr>
        <w:spacing w:before="60" w:after="60"/>
        <w:ind w:left="284" w:hanging="284"/>
      </w:pPr>
      <w:r w:rsidRPr="00623CFC">
        <w:t>Remise en place de fixations, tuiles, faîtage, rive, ardoises, shingle ou d’éléments déplacés et</w:t>
      </w:r>
      <w:r>
        <w:t xml:space="preserve"> </w:t>
      </w:r>
      <w:r w:rsidRPr="00623CFC">
        <w:t>remplacement si cassés,</w:t>
      </w:r>
    </w:p>
    <w:p w:rsidR="00686E4A" w:rsidRPr="00623CFC" w:rsidRDefault="00686E4A" w:rsidP="00E1690D">
      <w:pPr>
        <w:numPr>
          <w:ilvl w:val="0"/>
          <w:numId w:val="2"/>
        </w:numPr>
        <w:spacing w:before="60" w:after="60"/>
        <w:ind w:left="284" w:hanging="284"/>
      </w:pPr>
      <w:r w:rsidRPr="00623CFC">
        <w:t>Vérification des scellements de faitage, rive,</w:t>
      </w:r>
    </w:p>
    <w:p w:rsidR="00686E4A" w:rsidRPr="00623CFC" w:rsidRDefault="00686E4A" w:rsidP="00E1690D">
      <w:pPr>
        <w:numPr>
          <w:ilvl w:val="0"/>
          <w:numId w:val="2"/>
        </w:numPr>
        <w:spacing w:before="60" w:after="60"/>
        <w:ind w:left="284" w:hanging="284"/>
      </w:pPr>
      <w:r w:rsidRPr="00623CFC">
        <w:t>Vérification des solins,</w:t>
      </w:r>
    </w:p>
    <w:p w:rsidR="00686E4A" w:rsidRPr="00623CFC" w:rsidRDefault="00686E4A" w:rsidP="00E1690D">
      <w:pPr>
        <w:numPr>
          <w:ilvl w:val="0"/>
          <w:numId w:val="2"/>
        </w:numPr>
        <w:spacing w:before="60" w:after="60"/>
        <w:ind w:left="284" w:hanging="284"/>
      </w:pPr>
      <w:r w:rsidRPr="00623CFC">
        <w:t>Enlèvement des mousses,</w:t>
      </w:r>
    </w:p>
    <w:p w:rsidR="00686E4A" w:rsidRDefault="00686E4A" w:rsidP="00E1690D">
      <w:pPr>
        <w:numPr>
          <w:ilvl w:val="0"/>
          <w:numId w:val="2"/>
        </w:numPr>
        <w:spacing w:before="120"/>
        <w:ind w:left="284" w:hanging="284"/>
      </w:pPr>
      <w:r w:rsidRPr="00623CFC">
        <w:t xml:space="preserve">Traitement anti-mousse </w:t>
      </w:r>
      <w:r w:rsidR="009273C2" w:rsidRPr="00D97FA8">
        <w:t>(produit écologique et non nuisible à l’environnement, fournir une</w:t>
      </w:r>
      <w:r w:rsidR="009273C2">
        <w:t xml:space="preserve"> </w:t>
      </w:r>
      <w:r w:rsidR="009273C2" w:rsidRPr="00D97FA8">
        <w:t>fiche technique du produit proposer avant traitement</w:t>
      </w:r>
      <w:r w:rsidR="009273C2">
        <w:t xml:space="preserve"> pour validation de l’USID Brest).</w:t>
      </w:r>
    </w:p>
    <w:p w:rsidR="0005409C" w:rsidRDefault="0005409C" w:rsidP="00E1690D">
      <w:pPr>
        <w:spacing w:before="120"/>
        <w:ind w:left="284" w:hanging="284"/>
      </w:pPr>
    </w:p>
    <w:p w:rsidR="00686E4A" w:rsidRPr="00B0670D" w:rsidRDefault="00686E4A" w:rsidP="00E1690D">
      <w:pPr>
        <w:numPr>
          <w:ilvl w:val="0"/>
          <w:numId w:val="5"/>
        </w:numPr>
        <w:spacing w:before="120"/>
        <w:ind w:left="284" w:hanging="284"/>
        <w:rPr>
          <w:u w:val="single"/>
        </w:rPr>
      </w:pPr>
      <w:r w:rsidRPr="00B0670D">
        <w:rPr>
          <w:u w:val="single"/>
        </w:rPr>
        <w:t>Toitures verrières sur patio, halls d’accès</w:t>
      </w:r>
      <w:r>
        <w:rPr>
          <w:u w:val="single"/>
        </w:rPr>
        <w:t>..</w:t>
      </w:r>
    </w:p>
    <w:p w:rsidR="00686E4A" w:rsidRPr="00B0670D" w:rsidRDefault="00686E4A" w:rsidP="00E1690D">
      <w:pPr>
        <w:numPr>
          <w:ilvl w:val="0"/>
          <w:numId w:val="2"/>
        </w:numPr>
        <w:spacing w:before="120"/>
        <w:ind w:left="284" w:hanging="284"/>
      </w:pPr>
      <w:r w:rsidRPr="00B0670D">
        <w:t>Le nettoyage des vitrages,</w:t>
      </w:r>
    </w:p>
    <w:p w:rsidR="00686E4A" w:rsidRPr="00B0670D" w:rsidRDefault="00686E4A" w:rsidP="00E1690D">
      <w:pPr>
        <w:numPr>
          <w:ilvl w:val="0"/>
          <w:numId w:val="2"/>
        </w:numPr>
        <w:spacing w:before="120"/>
        <w:ind w:left="284" w:hanging="284"/>
      </w:pPr>
      <w:r w:rsidRPr="00B0670D">
        <w:t>Un traitement fongicide, algicide, anticryptogamique et anti-mousse à action rémanente ; ce traitement devra éliminer toutes les mousses et champignons présents sur les ossatures, revêtements et protections.</w:t>
      </w:r>
    </w:p>
    <w:p w:rsidR="00686E4A" w:rsidRPr="00B0670D" w:rsidRDefault="00686E4A" w:rsidP="00E1690D">
      <w:pPr>
        <w:numPr>
          <w:ilvl w:val="0"/>
          <w:numId w:val="2"/>
        </w:numPr>
        <w:spacing w:before="120"/>
        <w:ind w:left="284" w:hanging="284"/>
      </w:pPr>
      <w:r w:rsidRPr="00B0670D">
        <w:t>Le nettoyage complet et la vérification des chéneaux, boîtes à eau, trop-pleins et autres ouvrages de recueil et d’évacuation des eaux pluviales de la toiture.</w:t>
      </w:r>
    </w:p>
    <w:p w:rsidR="00686E4A" w:rsidRPr="00B0670D" w:rsidRDefault="00686E4A" w:rsidP="00E1690D">
      <w:pPr>
        <w:numPr>
          <w:ilvl w:val="0"/>
          <w:numId w:val="2"/>
        </w:numPr>
        <w:spacing w:before="120"/>
        <w:ind w:left="284" w:hanging="284"/>
      </w:pPr>
      <w:r w:rsidRPr="00B0670D">
        <w:t>Une vérification visuelle de l’ensemble des joints de pose ou d’étanchéité</w:t>
      </w:r>
      <w:r>
        <w:t xml:space="preserve"> et réfection si nécessaire</w:t>
      </w:r>
      <w:r w:rsidRPr="00B0670D">
        <w:t>.</w:t>
      </w:r>
    </w:p>
    <w:p w:rsidR="00686E4A" w:rsidRPr="00B0670D" w:rsidRDefault="00686E4A" w:rsidP="00E1690D">
      <w:pPr>
        <w:numPr>
          <w:ilvl w:val="0"/>
          <w:numId w:val="2"/>
        </w:numPr>
        <w:spacing w:before="120"/>
        <w:ind w:left="284" w:hanging="284"/>
      </w:pPr>
      <w:r w:rsidRPr="00B0670D">
        <w:t>Le maintien en bon état des relevés, ouvrages tels que solins, coiffes, larmiers, faîtières, corniches, souches, bandeaux, lanterneaux, orifices de ventilation…</w:t>
      </w:r>
    </w:p>
    <w:p w:rsidR="00686E4A" w:rsidRDefault="00686E4A" w:rsidP="00E1690D">
      <w:pPr>
        <w:numPr>
          <w:ilvl w:val="0"/>
          <w:numId w:val="2"/>
        </w:numPr>
        <w:spacing w:before="120"/>
        <w:ind w:left="284" w:hanging="284"/>
      </w:pPr>
      <w:r w:rsidRPr="00B0670D">
        <w:t xml:space="preserve">Le remplacement des crapaudines </w:t>
      </w:r>
      <w:r w:rsidR="0005409C">
        <w:t>pare grèves des descentes d’eau.</w:t>
      </w:r>
    </w:p>
    <w:p w:rsidR="0005409C" w:rsidRDefault="0005409C" w:rsidP="00E1690D">
      <w:pPr>
        <w:spacing w:before="120"/>
        <w:ind w:left="284" w:hanging="284"/>
      </w:pPr>
    </w:p>
    <w:p w:rsidR="0005409C" w:rsidRPr="0005409C" w:rsidRDefault="0005409C" w:rsidP="00E1690D">
      <w:pPr>
        <w:numPr>
          <w:ilvl w:val="0"/>
          <w:numId w:val="5"/>
        </w:numPr>
        <w:spacing w:before="120"/>
        <w:ind w:left="284" w:hanging="284"/>
        <w:rPr>
          <w:u w:val="single"/>
        </w:rPr>
      </w:pPr>
      <w:r w:rsidRPr="0005409C">
        <w:rPr>
          <w:u w:val="single"/>
        </w:rPr>
        <w:t>Toitures terrasses végétalisées</w:t>
      </w:r>
    </w:p>
    <w:p w:rsidR="0005409C" w:rsidRPr="0005409C" w:rsidRDefault="0005409C" w:rsidP="00E1690D">
      <w:pPr>
        <w:numPr>
          <w:ilvl w:val="0"/>
          <w:numId w:val="8"/>
        </w:numPr>
        <w:spacing w:before="120"/>
        <w:ind w:left="284" w:hanging="284"/>
        <w:jc w:val="left"/>
      </w:pPr>
      <w:r w:rsidRPr="0005409C">
        <w:t>Contrôle de l’étanchéité et inspection de la toiture (murs, bandeaux, acrotères, etc) ainsi que la vérification des différents relevés d’étanchéité.</w:t>
      </w:r>
    </w:p>
    <w:p w:rsidR="0005409C" w:rsidRPr="0005409C" w:rsidRDefault="0005409C" w:rsidP="00E1690D">
      <w:pPr>
        <w:numPr>
          <w:ilvl w:val="0"/>
          <w:numId w:val="8"/>
        </w:numPr>
        <w:spacing w:before="120"/>
        <w:ind w:left="284" w:hanging="284"/>
        <w:jc w:val="left"/>
      </w:pPr>
      <w:r w:rsidRPr="0005409C">
        <w:t>Nettoyage global des joints et des évacuations des eaux de pluies afin de d’éviter une rétention d’eau qui serait nocive pour la végétation.</w:t>
      </w:r>
    </w:p>
    <w:p w:rsidR="0005409C" w:rsidRPr="0005409C" w:rsidRDefault="0005409C" w:rsidP="00E1690D">
      <w:pPr>
        <w:numPr>
          <w:ilvl w:val="0"/>
          <w:numId w:val="8"/>
        </w:numPr>
        <w:spacing w:before="120"/>
        <w:ind w:left="284" w:hanging="284"/>
        <w:jc w:val="left"/>
      </w:pPr>
      <w:r w:rsidRPr="0005409C">
        <w:t>Remise en état des protections des diverses zones stériles et des différents chemins de circulation.</w:t>
      </w:r>
    </w:p>
    <w:p w:rsidR="0005409C" w:rsidRPr="0005409C" w:rsidRDefault="0005409C" w:rsidP="00E1690D">
      <w:pPr>
        <w:numPr>
          <w:ilvl w:val="0"/>
          <w:numId w:val="8"/>
        </w:numPr>
        <w:spacing w:before="120"/>
        <w:ind w:left="284" w:hanging="284"/>
        <w:jc w:val="left"/>
      </w:pPr>
      <w:r w:rsidRPr="0005409C">
        <w:t>Ajouter des végétaux pour conserver une couverture végétale optimale.</w:t>
      </w:r>
    </w:p>
    <w:p w:rsidR="0005409C" w:rsidRPr="0005409C" w:rsidRDefault="0005409C" w:rsidP="00E1690D">
      <w:pPr>
        <w:numPr>
          <w:ilvl w:val="0"/>
          <w:numId w:val="8"/>
        </w:numPr>
        <w:spacing w:before="120"/>
        <w:ind w:left="284" w:hanging="284"/>
        <w:jc w:val="left"/>
      </w:pPr>
      <w:r w:rsidRPr="0005409C">
        <w:t>Arrachage manuel des mauvaises herbes.</w:t>
      </w:r>
    </w:p>
    <w:p w:rsidR="0005409C" w:rsidRPr="0005409C" w:rsidRDefault="0005409C" w:rsidP="00E1690D">
      <w:pPr>
        <w:numPr>
          <w:ilvl w:val="0"/>
          <w:numId w:val="8"/>
        </w:numPr>
        <w:spacing w:before="120"/>
        <w:ind w:left="284" w:hanging="284"/>
        <w:jc w:val="left"/>
      </w:pPr>
      <w:r w:rsidRPr="0005409C">
        <w:t>Taille des végétaux selon besoin</w:t>
      </w:r>
    </w:p>
    <w:p w:rsidR="0005409C" w:rsidRPr="0005409C" w:rsidRDefault="0005409C" w:rsidP="00E1690D">
      <w:pPr>
        <w:numPr>
          <w:ilvl w:val="0"/>
          <w:numId w:val="8"/>
        </w:numPr>
        <w:spacing w:before="120"/>
        <w:ind w:left="284" w:hanging="284"/>
        <w:jc w:val="left"/>
      </w:pPr>
      <w:r w:rsidRPr="0005409C">
        <w:t>Ramassage et évacuation des résidus de taille et des détritus.</w:t>
      </w:r>
    </w:p>
    <w:p w:rsidR="0005409C" w:rsidRPr="0005409C" w:rsidRDefault="0005409C" w:rsidP="00E1690D">
      <w:pPr>
        <w:numPr>
          <w:ilvl w:val="0"/>
          <w:numId w:val="8"/>
        </w:numPr>
        <w:spacing w:before="120"/>
        <w:ind w:left="284" w:hanging="284"/>
        <w:jc w:val="left"/>
      </w:pPr>
      <w:r w:rsidRPr="0005409C">
        <w:t>Arrosage des végétaux selon besoin.</w:t>
      </w:r>
    </w:p>
    <w:p w:rsidR="0005409C" w:rsidRDefault="000C7982" w:rsidP="00E1690D">
      <w:r w:rsidRPr="0005409C">
        <w:t>L’utilisation</w:t>
      </w:r>
      <w:r w:rsidR="009273C2" w:rsidRPr="0005409C">
        <w:t xml:space="preserve"> </w:t>
      </w:r>
      <w:r w:rsidR="009273C2">
        <w:t xml:space="preserve">de </w:t>
      </w:r>
      <w:r w:rsidR="0005409C" w:rsidRPr="0005409C">
        <w:t xml:space="preserve">produits phytopharmaceutiques </w:t>
      </w:r>
      <w:r>
        <w:t xml:space="preserve">et </w:t>
      </w:r>
      <w:r w:rsidRPr="0005409C">
        <w:t xml:space="preserve">d’engrais chimiques </w:t>
      </w:r>
      <w:r w:rsidR="0005409C" w:rsidRPr="0005409C">
        <w:t>sont proscrits à cause du risque de passage dans le système d’é</w:t>
      </w:r>
      <w:r w:rsidR="009273C2">
        <w:t>vacuation des eaux de pluviales</w:t>
      </w:r>
      <w:r w:rsidR="0005409C" w:rsidRPr="0005409C">
        <w:t>.</w:t>
      </w:r>
    </w:p>
    <w:p w:rsidR="0005409C" w:rsidRDefault="0005409C" w:rsidP="00E1690D">
      <w:pPr>
        <w:spacing w:before="120"/>
        <w:ind w:left="284" w:hanging="284"/>
      </w:pPr>
    </w:p>
    <w:p w:rsidR="0005409C" w:rsidRDefault="0005409C" w:rsidP="00E1690D">
      <w:pPr>
        <w:numPr>
          <w:ilvl w:val="0"/>
          <w:numId w:val="5"/>
        </w:numPr>
        <w:spacing w:before="120"/>
        <w:ind w:left="284" w:hanging="284"/>
        <w:rPr>
          <w:u w:val="single"/>
        </w:rPr>
      </w:pPr>
      <w:r w:rsidRPr="0005409C">
        <w:rPr>
          <w:u w:val="single"/>
        </w:rPr>
        <w:t xml:space="preserve">Toitures </w:t>
      </w:r>
      <w:r>
        <w:rPr>
          <w:u w:val="single"/>
        </w:rPr>
        <w:t>possédant des panneaux solaires :</w:t>
      </w:r>
    </w:p>
    <w:p w:rsidR="0005409C" w:rsidRDefault="0005409C" w:rsidP="00E1690D">
      <w:pPr>
        <w:spacing w:before="120"/>
        <w:ind w:left="284" w:hanging="284"/>
      </w:pPr>
      <w:r>
        <w:t>Un nettoyage est recommandé pour maintenir le rendement optimal des panneaux.</w:t>
      </w:r>
    </w:p>
    <w:p w:rsidR="003B424C" w:rsidRDefault="003B424C" w:rsidP="003B424C">
      <w:pPr>
        <w:spacing w:before="120"/>
        <w:ind w:firstLine="426"/>
      </w:pPr>
    </w:p>
    <w:p w:rsidR="0005409C" w:rsidRDefault="00CC7BC6" w:rsidP="00CC7BC6">
      <w:pPr>
        <w:pStyle w:val="Paragraphedeliste"/>
        <w:numPr>
          <w:ilvl w:val="1"/>
          <w:numId w:val="7"/>
        </w:numPr>
        <w:spacing w:before="120"/>
        <w:rPr>
          <w:b/>
        </w:rPr>
      </w:pPr>
      <w:r w:rsidRPr="00CC7BC6">
        <w:rPr>
          <w:b/>
        </w:rPr>
        <w:t>Gamme de maintenance</w:t>
      </w: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145"/>
        <w:gridCol w:w="2461"/>
      </w:tblGrid>
      <w:tr w:rsidR="00832993" w:rsidRPr="00846ADC" w:rsidTr="00832993">
        <w:trPr>
          <w:cantSplit/>
          <w:trHeight w:val="852"/>
          <w:tblHeader/>
          <w:jc w:val="center"/>
        </w:trPr>
        <w:tc>
          <w:tcPr>
            <w:tcW w:w="1667" w:type="pct"/>
            <w:shd w:val="clear" w:color="auto" w:fill="BFBFBF"/>
            <w:vAlign w:val="center"/>
          </w:tcPr>
          <w:p w:rsidR="00832993" w:rsidRPr="00846ADC" w:rsidRDefault="00832993" w:rsidP="00FF3DC2">
            <w:pPr>
              <w:jc w:val="center"/>
            </w:pPr>
            <w:r>
              <w:t>N°G2D</w:t>
            </w:r>
          </w:p>
        </w:tc>
        <w:tc>
          <w:tcPr>
            <w:tcW w:w="1552" w:type="pct"/>
            <w:shd w:val="clear" w:color="auto" w:fill="BFBFBF"/>
            <w:vAlign w:val="center"/>
          </w:tcPr>
          <w:p w:rsidR="00832993" w:rsidRPr="00846ADC" w:rsidRDefault="00832993" w:rsidP="00FF3DC2">
            <w:pPr>
              <w:jc w:val="center"/>
            </w:pPr>
            <w:r>
              <w:t>Site</w:t>
            </w:r>
          </w:p>
        </w:tc>
        <w:tc>
          <w:tcPr>
            <w:tcW w:w="1781" w:type="pct"/>
            <w:shd w:val="clear" w:color="auto" w:fill="BFBFBF"/>
            <w:vAlign w:val="center"/>
          </w:tcPr>
          <w:p w:rsidR="00832993" w:rsidRPr="00846ADC" w:rsidRDefault="00832993" w:rsidP="00FF3DC2">
            <w:pPr>
              <w:jc w:val="center"/>
            </w:pPr>
            <w:r>
              <w:t>Nombre de passage</w:t>
            </w:r>
          </w:p>
        </w:tc>
      </w:tr>
      <w:tr w:rsidR="00832993" w:rsidRPr="00846ADC" w:rsidTr="00832993">
        <w:trPr>
          <w:cantSplit/>
          <w:trHeight w:val="852"/>
          <w:jc w:val="center"/>
        </w:trPr>
        <w:tc>
          <w:tcPr>
            <w:tcW w:w="1667" w:type="pct"/>
            <w:vAlign w:val="center"/>
          </w:tcPr>
          <w:p w:rsidR="00832993" w:rsidRPr="00832993" w:rsidRDefault="00832993" w:rsidP="00832993">
            <w:pPr>
              <w:spacing w:after="0"/>
              <w:jc w:val="center"/>
              <w:rPr>
                <w:rFonts w:asciiTheme="minorHAnsi" w:hAnsiTheme="minorHAnsi" w:cstheme="minorHAnsi"/>
                <w:sz w:val="20"/>
                <w:szCs w:val="20"/>
              </w:rPr>
            </w:pPr>
            <w:r w:rsidRPr="00832993">
              <w:rPr>
                <w:rFonts w:asciiTheme="minorHAnsi" w:hAnsiTheme="minorHAnsi" w:cstheme="minorHAnsi"/>
                <w:sz w:val="20"/>
                <w:szCs w:val="20"/>
              </w:rPr>
              <w:t>290019513R</w:t>
            </w:r>
          </w:p>
        </w:tc>
        <w:tc>
          <w:tcPr>
            <w:tcW w:w="1552" w:type="pct"/>
            <w:vAlign w:val="center"/>
          </w:tcPr>
          <w:p w:rsidR="00832993" w:rsidRPr="00832993" w:rsidRDefault="00832993" w:rsidP="00832993">
            <w:pPr>
              <w:pStyle w:val="Titre3"/>
              <w:jc w:val="center"/>
              <w:rPr>
                <w:rFonts w:asciiTheme="minorHAnsi" w:hAnsiTheme="minorHAnsi" w:cstheme="minorHAnsi"/>
                <w:b/>
                <w:sz w:val="20"/>
                <w:szCs w:val="20"/>
              </w:rPr>
            </w:pPr>
            <w:r w:rsidRPr="00832993">
              <w:rPr>
                <w:rFonts w:asciiTheme="minorHAnsi" w:hAnsiTheme="minorHAnsi" w:cstheme="minorHAnsi"/>
                <w:b/>
                <w:sz w:val="20"/>
                <w:szCs w:val="20"/>
              </w:rPr>
              <w:t>C.I.N de Brest</w:t>
            </w:r>
          </w:p>
          <w:p w:rsidR="00832993" w:rsidRPr="00832993" w:rsidRDefault="00832993" w:rsidP="00832993">
            <w:pPr>
              <w:spacing w:after="0"/>
              <w:jc w:val="center"/>
              <w:rPr>
                <w:rFonts w:asciiTheme="minorHAnsi" w:hAnsiTheme="minorHAnsi" w:cstheme="minorHAnsi"/>
                <w:b/>
                <w:sz w:val="20"/>
                <w:szCs w:val="20"/>
              </w:rPr>
            </w:pPr>
          </w:p>
        </w:tc>
        <w:tc>
          <w:tcPr>
            <w:tcW w:w="1781" w:type="pct"/>
            <w:vAlign w:val="center"/>
          </w:tcPr>
          <w:p w:rsidR="00832993" w:rsidRPr="00832993" w:rsidRDefault="00832993" w:rsidP="00832993">
            <w:pPr>
              <w:pStyle w:val="Normal2"/>
              <w:spacing w:after="0"/>
              <w:jc w:val="center"/>
              <w:rPr>
                <w:rFonts w:asciiTheme="minorHAnsi" w:hAnsiTheme="minorHAnsi" w:cstheme="minorHAnsi"/>
                <w:sz w:val="20"/>
                <w:szCs w:val="20"/>
              </w:rPr>
            </w:pPr>
            <w:r w:rsidRPr="00832993">
              <w:rPr>
                <w:rFonts w:asciiTheme="minorHAnsi" w:hAnsiTheme="minorHAnsi" w:cstheme="minorHAnsi"/>
                <w:sz w:val="20"/>
                <w:szCs w:val="20"/>
              </w:rPr>
              <w:t>2 fois par an</w:t>
            </w:r>
          </w:p>
        </w:tc>
      </w:tr>
      <w:tr w:rsidR="00832993" w:rsidRPr="00846ADC"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sz w:val="20"/>
                <w:szCs w:val="20"/>
              </w:rPr>
              <w:t>290019535N</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sz w:val="20"/>
                <w:szCs w:val="20"/>
              </w:rPr>
              <w:t>Terrain de KERORIOU</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sz w:val="20"/>
                <w:szCs w:val="20"/>
              </w:rPr>
              <w:t>290019546Y</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sz w:val="20"/>
                <w:szCs w:val="20"/>
              </w:rPr>
              <w:t>Terrain du BERGOT</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p w:rsidR="00832993" w:rsidRPr="00832993" w:rsidRDefault="00832993" w:rsidP="00832993">
            <w:pPr>
              <w:jc w:val="center"/>
              <w:rPr>
                <w:rFonts w:asciiTheme="minorHAnsi" w:hAnsiTheme="minorHAnsi" w:cstheme="minorHAnsi"/>
                <w:sz w:val="20"/>
                <w:szCs w:val="20"/>
              </w:rPr>
            </w:pP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color w:val="333333"/>
                <w:sz w:val="20"/>
                <w:szCs w:val="20"/>
                <w:shd w:val="clear" w:color="auto" w:fill="FFFFFF"/>
              </w:rPr>
              <w:t>290019536O</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color w:val="333333"/>
                <w:sz w:val="20"/>
                <w:szCs w:val="20"/>
                <w:shd w:val="clear" w:color="auto" w:fill="FFFFFF"/>
              </w:rPr>
              <w:t>SERVICE SOCIAL DE LA MARINE</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2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color w:val="333333"/>
                <w:sz w:val="20"/>
                <w:szCs w:val="20"/>
                <w:shd w:val="clear" w:color="auto" w:fill="FFFFFF"/>
              </w:rPr>
              <w:t>290019547Z</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color w:val="333333"/>
                <w:sz w:val="20"/>
                <w:szCs w:val="20"/>
                <w:shd w:val="clear" w:color="auto" w:fill="FFFFFF"/>
              </w:rPr>
              <w:t>CASERNE GAULTIER DE KERVEGEN MAISSIN</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color w:val="333333"/>
                <w:sz w:val="20"/>
                <w:szCs w:val="20"/>
                <w:shd w:val="clear" w:color="auto" w:fill="FFFFFF"/>
              </w:rPr>
              <w:t>290019523B</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color w:val="333333"/>
                <w:sz w:val="20"/>
                <w:szCs w:val="20"/>
                <w:shd w:val="clear" w:color="auto" w:fill="FFFFFF"/>
              </w:rPr>
              <w:t>TERRAIN DE LA POINTE GENDARMERIE MARITIME</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color w:val="333333"/>
                <w:sz w:val="20"/>
                <w:szCs w:val="20"/>
                <w:shd w:val="clear" w:color="auto" w:fill="FFFFFF"/>
              </w:rPr>
            </w:pPr>
            <w:r w:rsidRPr="00832993">
              <w:rPr>
                <w:rFonts w:asciiTheme="minorHAnsi" w:hAnsiTheme="minorHAnsi" w:cstheme="minorHAnsi"/>
                <w:color w:val="333333"/>
                <w:sz w:val="20"/>
                <w:szCs w:val="20"/>
                <w:shd w:val="clear" w:color="auto" w:fill="FFFFFF"/>
              </w:rPr>
              <w:t>290069502I</w:t>
            </w:r>
          </w:p>
        </w:tc>
        <w:tc>
          <w:tcPr>
            <w:tcW w:w="1552" w:type="pct"/>
            <w:vAlign w:val="center"/>
          </w:tcPr>
          <w:p w:rsidR="00832993" w:rsidRPr="00832993" w:rsidRDefault="00832993" w:rsidP="00832993">
            <w:pPr>
              <w:jc w:val="center"/>
              <w:rPr>
                <w:rFonts w:asciiTheme="minorHAnsi" w:hAnsiTheme="minorHAnsi" w:cstheme="minorHAnsi"/>
                <w:b/>
                <w:color w:val="333333"/>
                <w:sz w:val="20"/>
                <w:szCs w:val="20"/>
                <w:shd w:val="clear" w:color="auto" w:fill="FFFFFF"/>
              </w:rPr>
            </w:pPr>
            <w:r w:rsidRPr="00832993">
              <w:rPr>
                <w:rFonts w:asciiTheme="minorHAnsi" w:hAnsiTheme="minorHAnsi" w:cstheme="minorHAnsi"/>
                <w:b/>
                <w:color w:val="333333"/>
                <w:sz w:val="20"/>
                <w:szCs w:val="20"/>
                <w:shd w:val="clear" w:color="auto" w:fill="FFFFFF"/>
              </w:rPr>
              <w:t>MAGASINS DE COAT TY OGAN</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sz w:val="20"/>
                <w:szCs w:val="20"/>
              </w:rPr>
            </w:pPr>
            <w:r w:rsidRPr="00832993">
              <w:rPr>
                <w:rFonts w:asciiTheme="minorHAnsi" w:hAnsiTheme="minorHAnsi" w:cstheme="minorHAnsi"/>
                <w:color w:val="333333"/>
                <w:sz w:val="20"/>
                <w:szCs w:val="20"/>
                <w:shd w:val="clear" w:color="auto" w:fill="FFFFFF"/>
              </w:rPr>
              <w:t>290019530I</w:t>
            </w:r>
          </w:p>
        </w:tc>
        <w:tc>
          <w:tcPr>
            <w:tcW w:w="1552" w:type="pct"/>
            <w:vAlign w:val="center"/>
          </w:tcPr>
          <w:p w:rsidR="00832993" w:rsidRPr="00832993" w:rsidRDefault="00832993" w:rsidP="00832993">
            <w:pPr>
              <w:jc w:val="center"/>
              <w:rPr>
                <w:rFonts w:asciiTheme="minorHAnsi" w:hAnsiTheme="minorHAnsi" w:cstheme="minorHAnsi"/>
                <w:b/>
                <w:sz w:val="20"/>
                <w:szCs w:val="20"/>
              </w:rPr>
            </w:pPr>
            <w:r w:rsidRPr="00832993">
              <w:rPr>
                <w:rFonts w:asciiTheme="minorHAnsi" w:hAnsiTheme="minorHAnsi" w:cstheme="minorHAnsi"/>
                <w:b/>
                <w:color w:val="333333"/>
                <w:sz w:val="20"/>
                <w:szCs w:val="20"/>
                <w:shd w:val="clear" w:color="auto" w:fill="FFFFFF"/>
              </w:rPr>
              <w:t>BUANDERIE DE L'ANSE SAUPIN</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color w:val="333333"/>
                <w:sz w:val="20"/>
                <w:szCs w:val="20"/>
                <w:shd w:val="clear" w:color="auto" w:fill="FFFFFF"/>
              </w:rPr>
            </w:pPr>
            <w:r w:rsidRPr="00832993">
              <w:rPr>
                <w:rFonts w:asciiTheme="minorHAnsi" w:hAnsiTheme="minorHAnsi" w:cstheme="minorHAnsi"/>
                <w:color w:val="333333"/>
                <w:sz w:val="20"/>
                <w:szCs w:val="20"/>
                <w:shd w:val="clear" w:color="auto" w:fill="FFFFFF"/>
              </w:rPr>
              <w:t>290019528G</w:t>
            </w:r>
          </w:p>
        </w:tc>
        <w:tc>
          <w:tcPr>
            <w:tcW w:w="1552" w:type="pct"/>
            <w:vAlign w:val="center"/>
          </w:tcPr>
          <w:p w:rsidR="00832993" w:rsidRPr="00832993" w:rsidRDefault="00832993" w:rsidP="00832993">
            <w:pPr>
              <w:jc w:val="center"/>
              <w:rPr>
                <w:rFonts w:asciiTheme="minorHAnsi" w:hAnsiTheme="minorHAnsi" w:cstheme="minorHAnsi"/>
                <w:b/>
                <w:color w:val="333333"/>
                <w:sz w:val="20"/>
                <w:szCs w:val="20"/>
                <w:shd w:val="clear" w:color="auto" w:fill="FFFFFF"/>
              </w:rPr>
            </w:pPr>
            <w:r w:rsidRPr="00832993">
              <w:rPr>
                <w:rFonts w:asciiTheme="minorHAnsi" w:hAnsiTheme="minorHAnsi" w:cstheme="minorHAnsi"/>
                <w:b/>
                <w:color w:val="333333"/>
                <w:sz w:val="20"/>
                <w:szCs w:val="20"/>
                <w:shd w:val="clear" w:color="auto" w:fill="FFFFFF"/>
              </w:rPr>
              <w:t>ETABLISSEMENT DE LA VILLENEUVE</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color w:val="333333"/>
                <w:sz w:val="20"/>
                <w:szCs w:val="20"/>
                <w:shd w:val="clear" w:color="auto" w:fill="FFFFFF"/>
              </w:rPr>
            </w:pPr>
            <w:r w:rsidRPr="00832993">
              <w:rPr>
                <w:rFonts w:asciiTheme="minorHAnsi" w:hAnsiTheme="minorHAnsi" w:cstheme="minorHAnsi"/>
                <w:color w:val="333333"/>
                <w:sz w:val="20"/>
                <w:szCs w:val="20"/>
                <w:shd w:val="clear" w:color="auto" w:fill="FFFFFF"/>
              </w:rPr>
              <w:t>290019557J</w:t>
            </w:r>
          </w:p>
        </w:tc>
        <w:tc>
          <w:tcPr>
            <w:tcW w:w="1552" w:type="pct"/>
            <w:vAlign w:val="center"/>
          </w:tcPr>
          <w:p w:rsidR="00832993" w:rsidRPr="00832993" w:rsidRDefault="00832993" w:rsidP="00832993">
            <w:pPr>
              <w:jc w:val="center"/>
              <w:rPr>
                <w:rFonts w:asciiTheme="minorHAnsi" w:hAnsiTheme="minorHAnsi" w:cstheme="minorHAnsi"/>
                <w:b/>
                <w:color w:val="333333"/>
                <w:sz w:val="20"/>
                <w:szCs w:val="20"/>
                <w:shd w:val="clear" w:color="auto" w:fill="FFFFFF"/>
              </w:rPr>
            </w:pPr>
            <w:r w:rsidRPr="00832993">
              <w:rPr>
                <w:rFonts w:asciiTheme="minorHAnsi" w:hAnsiTheme="minorHAnsi" w:cstheme="minorHAnsi"/>
                <w:b/>
                <w:color w:val="333333"/>
                <w:sz w:val="20"/>
                <w:szCs w:val="20"/>
                <w:shd w:val="clear" w:color="auto" w:fill="FFFFFF"/>
              </w:rPr>
              <w:t>IMMEUBLE SURCOUF</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r w:rsidR="00832993" w:rsidRPr="00B45871" w:rsidTr="00832993">
        <w:trPr>
          <w:cantSplit/>
          <w:trHeight w:val="852"/>
          <w:jc w:val="center"/>
        </w:trPr>
        <w:tc>
          <w:tcPr>
            <w:tcW w:w="1667" w:type="pct"/>
            <w:vAlign w:val="center"/>
          </w:tcPr>
          <w:p w:rsidR="00832993" w:rsidRPr="00832993" w:rsidRDefault="00832993" w:rsidP="00832993">
            <w:pPr>
              <w:jc w:val="center"/>
              <w:rPr>
                <w:rFonts w:asciiTheme="minorHAnsi" w:hAnsiTheme="minorHAnsi" w:cstheme="minorHAnsi"/>
                <w:color w:val="333333"/>
                <w:sz w:val="20"/>
                <w:szCs w:val="20"/>
                <w:shd w:val="clear" w:color="auto" w:fill="FFFFFF"/>
              </w:rPr>
            </w:pPr>
            <w:r w:rsidRPr="00832993">
              <w:rPr>
                <w:rFonts w:asciiTheme="minorHAnsi" w:hAnsiTheme="minorHAnsi" w:cstheme="minorHAnsi"/>
                <w:color w:val="333333"/>
                <w:sz w:val="20"/>
                <w:szCs w:val="20"/>
                <w:shd w:val="clear" w:color="auto" w:fill="FFFFFF"/>
              </w:rPr>
              <w:t>290019558K</w:t>
            </w:r>
          </w:p>
        </w:tc>
        <w:tc>
          <w:tcPr>
            <w:tcW w:w="1552" w:type="pct"/>
            <w:vAlign w:val="center"/>
          </w:tcPr>
          <w:p w:rsidR="00832993" w:rsidRPr="00832993" w:rsidRDefault="00832993" w:rsidP="00832993">
            <w:pPr>
              <w:jc w:val="center"/>
              <w:rPr>
                <w:rFonts w:asciiTheme="minorHAnsi" w:hAnsiTheme="minorHAnsi" w:cstheme="minorHAnsi"/>
                <w:b/>
                <w:color w:val="333333"/>
                <w:sz w:val="20"/>
                <w:szCs w:val="20"/>
                <w:shd w:val="clear" w:color="auto" w:fill="FFFFFF"/>
              </w:rPr>
            </w:pPr>
            <w:r w:rsidRPr="00832993">
              <w:rPr>
                <w:rFonts w:asciiTheme="minorHAnsi" w:hAnsiTheme="minorHAnsi" w:cstheme="minorHAnsi"/>
                <w:b/>
                <w:color w:val="000000"/>
                <w:sz w:val="20"/>
                <w:szCs w:val="20"/>
              </w:rPr>
              <w:t>IMMEUBLE SAINT LOUIS</w:t>
            </w:r>
          </w:p>
        </w:tc>
        <w:tc>
          <w:tcPr>
            <w:tcW w:w="1781" w:type="pct"/>
            <w:vAlign w:val="center"/>
          </w:tcPr>
          <w:p w:rsidR="00832993" w:rsidRPr="00832993" w:rsidRDefault="00832993" w:rsidP="00832993">
            <w:pPr>
              <w:pStyle w:val="Normal2"/>
              <w:jc w:val="center"/>
              <w:rPr>
                <w:rFonts w:asciiTheme="minorHAnsi" w:hAnsiTheme="minorHAnsi" w:cstheme="minorHAnsi"/>
                <w:sz w:val="20"/>
                <w:szCs w:val="20"/>
              </w:rPr>
            </w:pPr>
            <w:r w:rsidRPr="00832993">
              <w:rPr>
                <w:rFonts w:asciiTheme="minorHAnsi" w:hAnsiTheme="minorHAnsi" w:cstheme="minorHAnsi"/>
                <w:sz w:val="20"/>
                <w:szCs w:val="20"/>
              </w:rPr>
              <w:t>1 fois par an</w:t>
            </w:r>
          </w:p>
        </w:tc>
      </w:tr>
    </w:tbl>
    <w:p w:rsidR="00CC7BC6" w:rsidRPr="00CC7BC6" w:rsidRDefault="00CC7BC6" w:rsidP="00CC7BC6">
      <w:pPr>
        <w:spacing w:before="120"/>
        <w:ind w:left="643"/>
        <w:rPr>
          <w:b/>
        </w:rPr>
      </w:pPr>
    </w:p>
    <w:p w:rsidR="00686E4A" w:rsidRPr="005D53D9" w:rsidRDefault="00CC7BC6" w:rsidP="00CC7BC6">
      <w:pPr>
        <w:pStyle w:val="Style1"/>
        <w:ind w:left="643"/>
        <w:rPr>
          <w:b/>
        </w:rPr>
      </w:pPr>
      <w:r>
        <w:rPr>
          <w:b/>
        </w:rPr>
        <w:t xml:space="preserve">6.3 </w:t>
      </w:r>
      <w:r w:rsidR="00686E4A" w:rsidRPr="005D53D9">
        <w:rPr>
          <w:b/>
        </w:rPr>
        <w:t>Rapport de visite</w:t>
      </w:r>
      <w:r w:rsidR="00686E4A">
        <w:rPr>
          <w:b/>
        </w:rPr>
        <w:t>.</w:t>
      </w:r>
    </w:p>
    <w:p w:rsidR="00686E4A" w:rsidRPr="005D53D9" w:rsidRDefault="00686E4A" w:rsidP="00686E4A">
      <w:pPr>
        <w:pStyle w:val="numr2"/>
        <w:tabs>
          <w:tab w:val="clear" w:pos="1418"/>
        </w:tabs>
        <w:spacing w:before="0"/>
        <w:ind w:left="0" w:right="-58" w:firstLine="0"/>
        <w:rPr>
          <w:rFonts w:ascii="Calibri" w:hAnsi="Calibri" w:cs="Arial"/>
          <w:sz w:val="22"/>
          <w:szCs w:val="22"/>
        </w:rPr>
      </w:pPr>
      <w:r w:rsidRPr="005D53D9">
        <w:rPr>
          <w:rFonts w:ascii="Calibri" w:hAnsi="Calibri" w:cs="Arial"/>
          <w:sz w:val="22"/>
          <w:szCs w:val="22"/>
        </w:rPr>
        <w:t xml:space="preserve">A la suite des opérations </w:t>
      </w:r>
      <w:r>
        <w:rPr>
          <w:rFonts w:ascii="Calibri" w:hAnsi="Calibri" w:cs="Arial"/>
          <w:sz w:val="22"/>
          <w:szCs w:val="22"/>
        </w:rPr>
        <w:t xml:space="preserve">de maintenance </w:t>
      </w:r>
      <w:r w:rsidRPr="005D53D9">
        <w:rPr>
          <w:rFonts w:ascii="Calibri" w:hAnsi="Calibri" w:cs="Arial"/>
          <w:sz w:val="22"/>
          <w:szCs w:val="22"/>
        </w:rPr>
        <w:t>préventi</w:t>
      </w:r>
      <w:r>
        <w:rPr>
          <w:rFonts w:ascii="Calibri" w:hAnsi="Calibri" w:cs="Arial"/>
          <w:sz w:val="22"/>
          <w:szCs w:val="22"/>
        </w:rPr>
        <w:t>ve</w:t>
      </w:r>
      <w:r w:rsidRPr="005D53D9">
        <w:rPr>
          <w:rFonts w:ascii="Calibri" w:hAnsi="Calibri" w:cs="Arial"/>
          <w:sz w:val="22"/>
          <w:szCs w:val="22"/>
        </w:rPr>
        <w:t xml:space="preserve"> </w:t>
      </w:r>
      <w:r>
        <w:rPr>
          <w:rFonts w:ascii="Calibri" w:hAnsi="Calibri" w:cs="Arial"/>
          <w:sz w:val="22"/>
          <w:szCs w:val="22"/>
        </w:rPr>
        <w:t xml:space="preserve">et </w:t>
      </w:r>
      <w:r w:rsidRPr="005D53D9">
        <w:rPr>
          <w:rFonts w:ascii="Calibri" w:hAnsi="Calibri" w:cs="Arial"/>
          <w:sz w:val="22"/>
          <w:szCs w:val="22"/>
        </w:rPr>
        <w:t xml:space="preserve">d’entretien </w:t>
      </w:r>
      <w:r>
        <w:rPr>
          <w:rFonts w:ascii="Calibri" w:hAnsi="Calibri" w:cs="Arial"/>
          <w:sz w:val="22"/>
          <w:szCs w:val="22"/>
        </w:rPr>
        <w:t>mineur</w:t>
      </w:r>
      <w:r w:rsidRPr="005D53D9">
        <w:rPr>
          <w:rFonts w:ascii="Calibri" w:hAnsi="Calibri" w:cs="Arial"/>
          <w:sz w:val="22"/>
          <w:szCs w:val="22"/>
        </w:rPr>
        <w:t xml:space="preserve">, le titulaire adressera au </w:t>
      </w:r>
      <w:r>
        <w:rPr>
          <w:rFonts w:ascii="Calibri" w:hAnsi="Calibri" w:cs="Arial"/>
          <w:sz w:val="22"/>
          <w:szCs w:val="22"/>
        </w:rPr>
        <w:t xml:space="preserve">représentant de </w:t>
      </w:r>
      <w:r w:rsidR="003B424C">
        <w:rPr>
          <w:rFonts w:ascii="Calibri" w:hAnsi="Calibri" w:cs="Arial"/>
          <w:sz w:val="22"/>
          <w:szCs w:val="22"/>
        </w:rPr>
        <w:t>l’USID Brest</w:t>
      </w:r>
      <w:r>
        <w:rPr>
          <w:rFonts w:ascii="Calibri" w:hAnsi="Calibri" w:cs="Arial"/>
          <w:sz w:val="22"/>
          <w:szCs w:val="22"/>
        </w:rPr>
        <w:t>,</w:t>
      </w:r>
      <w:r w:rsidRPr="005D53D9">
        <w:rPr>
          <w:rFonts w:ascii="Calibri" w:hAnsi="Calibri" w:cs="Arial"/>
          <w:sz w:val="22"/>
          <w:szCs w:val="22"/>
        </w:rPr>
        <w:t xml:space="preserve"> </w:t>
      </w:r>
      <w:r>
        <w:rPr>
          <w:rFonts w:ascii="Calibri" w:hAnsi="Calibri" w:cs="Arial"/>
          <w:sz w:val="22"/>
          <w:szCs w:val="22"/>
        </w:rPr>
        <w:t>un</w:t>
      </w:r>
      <w:r w:rsidRPr="005D53D9">
        <w:rPr>
          <w:rFonts w:ascii="Calibri" w:hAnsi="Calibri" w:cs="Arial"/>
          <w:sz w:val="22"/>
          <w:szCs w:val="22"/>
        </w:rPr>
        <w:t xml:space="preserve"> rapport de visite dressé pour chacun des ouvrages en précisant :</w:t>
      </w:r>
    </w:p>
    <w:p w:rsidR="00686E4A" w:rsidRPr="00ED2A82" w:rsidRDefault="003B424C" w:rsidP="00686E4A">
      <w:pPr>
        <w:numPr>
          <w:ilvl w:val="0"/>
          <w:numId w:val="2"/>
        </w:numPr>
        <w:spacing w:before="60" w:after="60"/>
        <w:ind w:left="714" w:hanging="357"/>
      </w:pPr>
      <w:r w:rsidRPr="00ED2A82">
        <w:t>L’opportunité</w:t>
      </w:r>
      <w:r w:rsidR="00686E4A" w:rsidRPr="00ED2A82">
        <w:t xml:space="preserve"> de réaliser certains travaux sortant du cadre de l’entretien et de la responsabilité décennale, pour lesquels un devis sera établi, pour une exécution éventuelle.</w:t>
      </w:r>
    </w:p>
    <w:p w:rsidR="00686E4A" w:rsidRPr="00ED2A82" w:rsidRDefault="003B424C" w:rsidP="00686E4A">
      <w:pPr>
        <w:numPr>
          <w:ilvl w:val="0"/>
          <w:numId w:val="2"/>
        </w:numPr>
        <w:spacing w:before="60" w:after="60"/>
        <w:ind w:left="714" w:hanging="357"/>
      </w:pPr>
      <w:r w:rsidRPr="00ED2A82">
        <w:t>L’état</w:t>
      </w:r>
      <w:r w:rsidR="00686E4A" w:rsidRPr="00ED2A82">
        <w:t xml:space="preserve"> de conservation des ouvrages concourants à l'étanchéité de l’ouvrage,</w:t>
      </w:r>
    </w:p>
    <w:p w:rsidR="00686E4A" w:rsidRPr="00ED2A82" w:rsidRDefault="003B424C" w:rsidP="00686E4A">
      <w:pPr>
        <w:numPr>
          <w:ilvl w:val="0"/>
          <w:numId w:val="2"/>
        </w:numPr>
        <w:spacing w:before="60" w:after="60"/>
        <w:ind w:left="714" w:hanging="357"/>
      </w:pPr>
      <w:r w:rsidRPr="00ED2A82">
        <w:t>Les</w:t>
      </w:r>
      <w:r w:rsidR="00686E4A" w:rsidRPr="00ED2A82">
        <w:t xml:space="preserve"> risques potentiels de défaut d'étanchéité, suite à l'activité d'un autre corps d'état ou à des désordres apparents dans le gros œuvre ou les autres ouvrages,</w:t>
      </w:r>
    </w:p>
    <w:p w:rsidR="00686E4A" w:rsidRPr="00ED2A82" w:rsidRDefault="003B424C" w:rsidP="00686E4A">
      <w:pPr>
        <w:numPr>
          <w:ilvl w:val="0"/>
          <w:numId w:val="2"/>
        </w:numPr>
        <w:spacing w:before="60" w:after="60"/>
        <w:ind w:left="714" w:hanging="357"/>
      </w:pPr>
      <w:r w:rsidRPr="00ED2A82">
        <w:t>Des</w:t>
      </w:r>
      <w:r w:rsidR="00686E4A" w:rsidRPr="00ED2A82">
        <w:t xml:space="preserve"> préconisations de travaux à réaliser. </w:t>
      </w:r>
    </w:p>
    <w:p w:rsidR="00686E4A" w:rsidRDefault="003B424C" w:rsidP="00686E4A">
      <w:pPr>
        <w:numPr>
          <w:ilvl w:val="0"/>
          <w:numId w:val="2"/>
        </w:numPr>
        <w:spacing w:before="60" w:after="60"/>
        <w:ind w:left="714" w:hanging="357"/>
      </w:pPr>
      <w:r w:rsidRPr="00ED2A82">
        <w:t>Toute</w:t>
      </w:r>
      <w:r w:rsidR="00686E4A" w:rsidRPr="00ED2A82">
        <w:t xml:space="preserve"> non-conformité à la réglementation en vigue</w:t>
      </w:r>
      <w:r w:rsidR="00686E4A">
        <w:t>ur des matériels ou équipements</w:t>
      </w:r>
    </w:p>
    <w:p w:rsidR="00686E4A" w:rsidRPr="00ED2A82" w:rsidRDefault="003B424C" w:rsidP="00686E4A">
      <w:pPr>
        <w:numPr>
          <w:ilvl w:val="0"/>
          <w:numId w:val="2"/>
        </w:numPr>
        <w:spacing w:before="60" w:after="60"/>
        <w:ind w:left="714" w:hanging="357"/>
      </w:pPr>
      <w:r>
        <w:t>Autres</w:t>
      </w:r>
      <w:r w:rsidR="00686E4A">
        <w:t xml:space="preserve"> dérangements ou anomalies</w:t>
      </w:r>
    </w:p>
    <w:p w:rsidR="00686E4A" w:rsidRPr="00041506" w:rsidRDefault="00686E4A" w:rsidP="00686E4A">
      <w:pPr>
        <w:pStyle w:val="numr2"/>
        <w:tabs>
          <w:tab w:val="clear" w:pos="1418"/>
        </w:tabs>
        <w:spacing w:before="0"/>
        <w:ind w:left="0" w:right="-58" w:firstLine="0"/>
        <w:rPr>
          <w:rFonts w:ascii="Calibri" w:hAnsi="Calibri" w:cs="Arial"/>
          <w:sz w:val="22"/>
          <w:szCs w:val="22"/>
        </w:rPr>
      </w:pPr>
      <w:r w:rsidRPr="00041506">
        <w:rPr>
          <w:rFonts w:ascii="Calibri" w:hAnsi="Calibri" w:cs="Arial"/>
          <w:sz w:val="22"/>
          <w:szCs w:val="22"/>
        </w:rPr>
        <w:t>Ce rapport de visite sera transmis sous deux semaines au représentant de l’E.S.I.D.</w:t>
      </w:r>
      <w:r w:rsidRPr="00041506">
        <w:rPr>
          <w:rFonts w:ascii="Calibri" w:hAnsi="Calibri"/>
          <w:sz w:val="22"/>
          <w:szCs w:val="22"/>
        </w:rPr>
        <w:t xml:space="preserve"> Le titulaire remettra</w:t>
      </w:r>
      <w:r>
        <w:rPr>
          <w:rFonts w:ascii="Calibri" w:hAnsi="Calibri"/>
          <w:sz w:val="22"/>
          <w:szCs w:val="22"/>
        </w:rPr>
        <w:t xml:space="preserve"> également</w:t>
      </w:r>
      <w:r w:rsidRPr="00041506">
        <w:rPr>
          <w:rFonts w:ascii="Calibri" w:hAnsi="Calibri"/>
          <w:sz w:val="22"/>
          <w:szCs w:val="22"/>
        </w:rPr>
        <w:t>, sans surcoût, un</w:t>
      </w:r>
      <w:r>
        <w:rPr>
          <w:rFonts w:ascii="Calibri" w:hAnsi="Calibri"/>
          <w:sz w:val="22"/>
          <w:szCs w:val="22"/>
        </w:rPr>
        <w:t>e estimation financière sur</w:t>
      </w:r>
      <w:r w:rsidRPr="00041506">
        <w:rPr>
          <w:rFonts w:ascii="Calibri" w:hAnsi="Calibri"/>
          <w:sz w:val="22"/>
          <w:szCs w:val="22"/>
        </w:rPr>
        <w:t xml:space="preserve"> devis </w:t>
      </w:r>
      <w:r>
        <w:rPr>
          <w:rFonts w:ascii="Calibri" w:hAnsi="Calibri"/>
          <w:sz w:val="22"/>
          <w:szCs w:val="22"/>
        </w:rPr>
        <w:t>ou sur la base</w:t>
      </w:r>
      <w:r w:rsidRPr="00041506">
        <w:rPr>
          <w:rFonts w:ascii="Calibri" w:hAnsi="Calibri"/>
          <w:sz w:val="22"/>
          <w:szCs w:val="22"/>
        </w:rPr>
        <w:t xml:space="preserve"> bordereau des prix unitaires du présent marché, auquel l’E.S.I.D de Brest se réserve le droit de donner suite ou non</w:t>
      </w:r>
      <w:r>
        <w:rPr>
          <w:rFonts w:ascii="Calibri" w:hAnsi="Calibri"/>
          <w:sz w:val="22"/>
          <w:szCs w:val="22"/>
        </w:rPr>
        <w:t>.</w:t>
      </w:r>
    </w:p>
    <w:p w:rsidR="004338F2" w:rsidRDefault="004338F2" w:rsidP="004338F2">
      <w:pPr>
        <w:spacing w:before="120"/>
        <w:ind w:left="720"/>
      </w:pPr>
    </w:p>
    <w:p w:rsidR="004338F2" w:rsidRPr="00CB7AB0" w:rsidRDefault="004338F2" w:rsidP="004338F2">
      <w:pPr>
        <w:pStyle w:val="Titre2"/>
      </w:pPr>
      <w:r w:rsidRPr="00CB7AB0">
        <w:t xml:space="preserve">ARTICLE </w:t>
      </w:r>
      <w:r>
        <w:t>7</w:t>
      </w:r>
      <w:r w:rsidRPr="00CB7AB0">
        <w:t xml:space="preserve">. </w:t>
      </w:r>
      <w:r>
        <w:t>MAINTENANCES CORRECTIVES</w:t>
      </w:r>
    </w:p>
    <w:p w:rsidR="00E45C0C" w:rsidRPr="00FF6CCB" w:rsidRDefault="00686E4A" w:rsidP="00FF6CCB">
      <w:pPr>
        <w:pStyle w:val="numr2"/>
        <w:tabs>
          <w:tab w:val="clear" w:pos="1418"/>
        </w:tabs>
        <w:spacing w:after="120"/>
        <w:ind w:left="0" w:right="-57" w:firstLine="0"/>
        <w:rPr>
          <w:rFonts w:ascii="Calibri" w:hAnsi="Calibri" w:cs="Arial"/>
          <w:sz w:val="22"/>
          <w:szCs w:val="22"/>
        </w:rPr>
      </w:pPr>
      <w:r w:rsidRPr="00250FFF">
        <w:rPr>
          <w:rFonts w:ascii="Calibri" w:hAnsi="Calibri" w:cs="Arial"/>
          <w:sz w:val="22"/>
          <w:szCs w:val="22"/>
        </w:rPr>
        <w:t>A la demande des utilis</w:t>
      </w:r>
      <w:r w:rsidR="003C14EB">
        <w:rPr>
          <w:rFonts w:ascii="Calibri" w:hAnsi="Calibri" w:cs="Arial"/>
          <w:sz w:val="22"/>
          <w:szCs w:val="22"/>
        </w:rPr>
        <w:t xml:space="preserve">ateurs ou du représentant du </w:t>
      </w:r>
      <w:r w:rsidRPr="00250FFF">
        <w:rPr>
          <w:rFonts w:ascii="Calibri" w:hAnsi="Calibri" w:cs="Arial"/>
          <w:sz w:val="22"/>
          <w:szCs w:val="22"/>
        </w:rPr>
        <w:t>SID, selon les clau</w:t>
      </w:r>
      <w:r>
        <w:rPr>
          <w:rFonts w:ascii="Calibri" w:hAnsi="Calibri" w:cs="Arial"/>
          <w:sz w:val="22"/>
          <w:szCs w:val="22"/>
        </w:rPr>
        <w:t>ses inscrites aux CCTP et CCAP.</w:t>
      </w:r>
    </w:p>
    <w:p w:rsidR="00717B36" w:rsidRDefault="00717B36"/>
    <w:sectPr w:rsidR="00717B36" w:rsidSect="003B424C">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2CD" w:rsidRDefault="007132CD" w:rsidP="006F7D49">
      <w:pPr>
        <w:spacing w:after="0"/>
      </w:pPr>
      <w:r>
        <w:separator/>
      </w:r>
    </w:p>
  </w:endnote>
  <w:endnote w:type="continuationSeparator" w:id="0">
    <w:p w:rsidR="007132CD" w:rsidRDefault="007132CD" w:rsidP="006F7D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2CD" w:rsidRDefault="007132CD" w:rsidP="006F7D49">
      <w:pPr>
        <w:spacing w:after="0"/>
      </w:pPr>
      <w:r>
        <w:separator/>
      </w:r>
    </w:p>
  </w:footnote>
  <w:footnote w:type="continuationSeparator" w:id="0">
    <w:p w:rsidR="007132CD" w:rsidRDefault="007132CD" w:rsidP="006F7D4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69D3"/>
    <w:multiLevelType w:val="hybridMultilevel"/>
    <w:tmpl w:val="0ECE6F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B063D"/>
    <w:multiLevelType w:val="hybridMultilevel"/>
    <w:tmpl w:val="1E16A13E"/>
    <w:lvl w:ilvl="0" w:tplc="F7C86296">
      <w:start w:val="1"/>
      <w:numFmt w:val="decimal"/>
      <w:lvlText w:val="%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2" w15:restartNumberingAfterBreak="0">
    <w:nsid w:val="13497E8C"/>
    <w:multiLevelType w:val="hybridMultilevel"/>
    <w:tmpl w:val="2AF42E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875B2E"/>
    <w:multiLevelType w:val="hybridMultilevel"/>
    <w:tmpl w:val="6634644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897042"/>
    <w:multiLevelType w:val="hybridMultilevel"/>
    <w:tmpl w:val="C33A40F0"/>
    <w:lvl w:ilvl="0" w:tplc="7C66B19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943FB1"/>
    <w:multiLevelType w:val="hybridMultilevel"/>
    <w:tmpl w:val="4BE640CC"/>
    <w:lvl w:ilvl="0" w:tplc="49AA5822">
      <w:start w:val="1"/>
      <w:numFmt w:val="bullet"/>
      <w:lvlText w:val="-"/>
      <w:lvlJc w:val="left"/>
      <w:pPr>
        <w:tabs>
          <w:tab w:val="num" w:pos="737"/>
        </w:tabs>
        <w:ind w:left="737" w:hanging="454"/>
      </w:pPr>
      <w:rPr>
        <w:rFonts w:ascii="Arial" w:hAnsi="Arial"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6" w15:restartNumberingAfterBreak="0">
    <w:nsid w:val="4D2672B9"/>
    <w:multiLevelType w:val="multilevel"/>
    <w:tmpl w:val="F6B88382"/>
    <w:lvl w:ilvl="0">
      <w:start w:val="6"/>
      <w:numFmt w:val="decimal"/>
      <w:lvlText w:val="%1"/>
      <w:lvlJc w:val="left"/>
      <w:pPr>
        <w:ind w:left="360" w:hanging="360"/>
      </w:pPr>
      <w:rPr>
        <w:rFonts w:hint="default"/>
      </w:rPr>
    </w:lvl>
    <w:lvl w:ilvl="1">
      <w:start w:val="1"/>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7" w15:restartNumberingAfterBreak="0">
    <w:nsid w:val="6DDF4CED"/>
    <w:multiLevelType w:val="hybridMultilevel"/>
    <w:tmpl w:val="2B70AD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064414"/>
    <w:multiLevelType w:val="singleLevel"/>
    <w:tmpl w:val="E458887C"/>
    <w:lvl w:ilvl="0">
      <w:start w:val="1"/>
      <w:numFmt w:val="bullet"/>
      <w:lvlText w:val="-"/>
      <w:lvlJc w:val="left"/>
      <w:pPr>
        <w:ind w:left="720" w:hanging="360"/>
      </w:pPr>
      <w:rPr>
        <w:rFonts w:hint="default"/>
      </w:rPr>
    </w:lvl>
  </w:abstractNum>
  <w:abstractNum w:abstractNumId="9" w15:restartNumberingAfterBreak="0">
    <w:nsid w:val="7BAD6124"/>
    <w:multiLevelType w:val="hybridMultilevel"/>
    <w:tmpl w:val="7F020D24"/>
    <w:lvl w:ilvl="0" w:tplc="49AA5822">
      <w:start w:val="1"/>
      <w:numFmt w:val="bullet"/>
      <w:lvlText w:val="-"/>
      <w:lvlJc w:val="left"/>
      <w:pPr>
        <w:ind w:left="36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0"/>
  </w:num>
  <w:num w:numId="5">
    <w:abstractNumId w:val="3"/>
  </w:num>
  <w:num w:numId="6">
    <w:abstractNumId w:val="1"/>
  </w:num>
  <w:num w:numId="7">
    <w:abstractNumId w:val="6"/>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B3B"/>
    <w:rsid w:val="0005409C"/>
    <w:rsid w:val="000C7982"/>
    <w:rsid w:val="003B424C"/>
    <w:rsid w:val="003C14EB"/>
    <w:rsid w:val="003D1816"/>
    <w:rsid w:val="003E63B2"/>
    <w:rsid w:val="00401ADF"/>
    <w:rsid w:val="004338F2"/>
    <w:rsid w:val="004415F7"/>
    <w:rsid w:val="004D7DD3"/>
    <w:rsid w:val="00686E4A"/>
    <w:rsid w:val="006F7D49"/>
    <w:rsid w:val="007132CD"/>
    <w:rsid w:val="00714B3B"/>
    <w:rsid w:val="00717B36"/>
    <w:rsid w:val="007474F7"/>
    <w:rsid w:val="00763583"/>
    <w:rsid w:val="00832993"/>
    <w:rsid w:val="008A4614"/>
    <w:rsid w:val="008E4DEC"/>
    <w:rsid w:val="009273C2"/>
    <w:rsid w:val="009476C1"/>
    <w:rsid w:val="00A23CD6"/>
    <w:rsid w:val="00CA1551"/>
    <w:rsid w:val="00CC7BC6"/>
    <w:rsid w:val="00D96000"/>
    <w:rsid w:val="00E1690D"/>
    <w:rsid w:val="00E45C0C"/>
    <w:rsid w:val="00FC44AB"/>
    <w:rsid w:val="00FF6C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99AD3-C020-4A24-AE97-6F1E6DA8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C0C"/>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E45C0C"/>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E45C0C"/>
    <w:pPr>
      <w:shd w:val="clear" w:color="auto" w:fill="D6E3BC" w:themeFill="accent3" w:themeFillTint="66"/>
      <w:ind w:left="1134" w:hanging="1134"/>
      <w:jc w:val="both"/>
      <w:outlineLvl w:val="1"/>
    </w:pPr>
    <w:rPr>
      <w:color w:val="auto"/>
      <w:sz w:val="22"/>
      <w:szCs w:val="22"/>
    </w:rPr>
  </w:style>
  <w:style w:type="paragraph" w:styleId="Titre3">
    <w:name w:val="heading 3"/>
    <w:basedOn w:val="Normal"/>
    <w:next w:val="Normal"/>
    <w:link w:val="Titre3Car"/>
    <w:uiPriority w:val="9"/>
    <w:semiHidden/>
    <w:unhideWhenUsed/>
    <w:qFormat/>
    <w:rsid w:val="008329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5C0C"/>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E45C0C"/>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E45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E45C0C"/>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E45C0C"/>
    <w:rPr>
      <w:rFonts w:ascii="Times New Roman" w:eastAsia="Times New Roman" w:hAnsi="Times New Roman" w:cs="Times New Roman"/>
      <w:sz w:val="20"/>
      <w:szCs w:val="20"/>
      <w:lang w:eastAsia="fr-FR"/>
    </w:rPr>
  </w:style>
  <w:style w:type="paragraph" w:customStyle="1" w:styleId="Style1">
    <w:name w:val="Style1"/>
    <w:basedOn w:val="Normal"/>
    <w:link w:val="Style1Car"/>
    <w:qFormat/>
    <w:rsid w:val="00686E4A"/>
    <w:rPr>
      <w:rFonts w:cs="Arial"/>
      <w:lang w:eastAsia="fr-FR"/>
    </w:rPr>
  </w:style>
  <w:style w:type="character" w:customStyle="1" w:styleId="Style1Car">
    <w:name w:val="Style1 Car"/>
    <w:link w:val="Style1"/>
    <w:rsid w:val="00686E4A"/>
    <w:rPr>
      <w:rFonts w:ascii="Calibri" w:eastAsia="Times New Roman" w:hAnsi="Calibri" w:cs="Arial"/>
      <w:lang w:eastAsia="fr-FR"/>
    </w:rPr>
  </w:style>
  <w:style w:type="paragraph" w:styleId="En-tte">
    <w:name w:val="header"/>
    <w:basedOn w:val="Normal"/>
    <w:link w:val="En-tteCar"/>
    <w:uiPriority w:val="99"/>
    <w:unhideWhenUsed/>
    <w:rsid w:val="00686E4A"/>
    <w:pPr>
      <w:tabs>
        <w:tab w:val="center" w:pos="4536"/>
        <w:tab w:val="right" w:pos="9072"/>
      </w:tabs>
      <w:spacing w:before="120"/>
    </w:pPr>
    <w:rPr>
      <w:szCs w:val="24"/>
      <w:lang w:eastAsia="fr-FR"/>
    </w:rPr>
  </w:style>
  <w:style w:type="character" w:customStyle="1" w:styleId="En-tteCar">
    <w:name w:val="En-tête Car"/>
    <w:basedOn w:val="Policepardfaut"/>
    <w:link w:val="En-tte"/>
    <w:uiPriority w:val="99"/>
    <w:rsid w:val="00686E4A"/>
    <w:rPr>
      <w:rFonts w:ascii="Calibri" w:eastAsia="Times New Roman" w:hAnsi="Calibri" w:cs="Times New Roman"/>
      <w:szCs w:val="24"/>
      <w:lang w:eastAsia="fr-FR"/>
    </w:rPr>
  </w:style>
  <w:style w:type="paragraph" w:styleId="Corpsdetexte2">
    <w:name w:val="Body Text 2"/>
    <w:basedOn w:val="Normal"/>
    <w:link w:val="Corpsdetexte2Car"/>
    <w:uiPriority w:val="99"/>
    <w:unhideWhenUsed/>
    <w:rsid w:val="00686E4A"/>
    <w:pPr>
      <w:spacing w:before="120" w:line="480" w:lineRule="auto"/>
    </w:pPr>
    <w:rPr>
      <w:szCs w:val="24"/>
      <w:lang w:eastAsia="fr-FR"/>
    </w:rPr>
  </w:style>
  <w:style w:type="character" w:customStyle="1" w:styleId="Corpsdetexte2Car">
    <w:name w:val="Corps de texte 2 Car"/>
    <w:basedOn w:val="Policepardfaut"/>
    <w:link w:val="Corpsdetexte2"/>
    <w:uiPriority w:val="99"/>
    <w:rsid w:val="00686E4A"/>
    <w:rPr>
      <w:rFonts w:ascii="Calibri" w:eastAsia="Times New Roman" w:hAnsi="Calibri" w:cs="Times New Roman"/>
      <w:szCs w:val="24"/>
      <w:lang w:eastAsia="fr-FR"/>
    </w:rPr>
  </w:style>
  <w:style w:type="paragraph" w:customStyle="1" w:styleId="numr2">
    <w:name w:val="énumér2"/>
    <w:basedOn w:val="Normal"/>
    <w:rsid w:val="00686E4A"/>
    <w:pPr>
      <w:tabs>
        <w:tab w:val="num" w:pos="1418"/>
      </w:tabs>
      <w:spacing w:before="120" w:after="0"/>
      <w:ind w:left="1418" w:hanging="567"/>
    </w:pPr>
    <w:rPr>
      <w:rFonts w:ascii="Arial Narrow" w:hAnsi="Arial Narrow"/>
      <w:sz w:val="24"/>
      <w:szCs w:val="20"/>
      <w:lang w:eastAsia="fr-FR"/>
    </w:rPr>
  </w:style>
  <w:style w:type="paragraph" w:styleId="Pieddepage">
    <w:name w:val="footer"/>
    <w:basedOn w:val="Normal"/>
    <w:link w:val="PieddepageCar"/>
    <w:uiPriority w:val="99"/>
    <w:unhideWhenUsed/>
    <w:rsid w:val="006F7D49"/>
    <w:pPr>
      <w:tabs>
        <w:tab w:val="center" w:pos="4536"/>
        <w:tab w:val="right" w:pos="9072"/>
      </w:tabs>
      <w:spacing w:after="0"/>
    </w:pPr>
  </w:style>
  <w:style w:type="character" w:customStyle="1" w:styleId="PieddepageCar">
    <w:name w:val="Pied de page Car"/>
    <w:basedOn w:val="Policepardfaut"/>
    <w:link w:val="Pieddepage"/>
    <w:uiPriority w:val="99"/>
    <w:rsid w:val="006F7D49"/>
    <w:rPr>
      <w:rFonts w:ascii="Calibri" w:eastAsia="Times New Roman" w:hAnsi="Calibri" w:cs="Times New Roman"/>
    </w:rPr>
  </w:style>
  <w:style w:type="paragraph" w:styleId="Paragraphedeliste">
    <w:name w:val="List Paragraph"/>
    <w:basedOn w:val="Normal"/>
    <w:uiPriority w:val="34"/>
    <w:qFormat/>
    <w:rsid w:val="00D96000"/>
    <w:pPr>
      <w:ind w:left="720"/>
      <w:contextualSpacing/>
    </w:pPr>
  </w:style>
  <w:style w:type="character" w:customStyle="1" w:styleId="Titre3Car">
    <w:name w:val="Titre 3 Car"/>
    <w:basedOn w:val="Policepardfaut"/>
    <w:link w:val="Titre3"/>
    <w:uiPriority w:val="9"/>
    <w:semiHidden/>
    <w:rsid w:val="00832993"/>
    <w:rPr>
      <w:rFonts w:asciiTheme="majorHAnsi" w:eastAsiaTheme="majorEastAsia" w:hAnsiTheme="majorHAnsi" w:cstheme="majorBidi"/>
      <w:color w:val="243F60" w:themeColor="accent1" w:themeShade="7F"/>
      <w:sz w:val="24"/>
      <w:szCs w:val="24"/>
    </w:rPr>
  </w:style>
  <w:style w:type="paragraph" w:customStyle="1" w:styleId="Normal2">
    <w:name w:val="Normal2"/>
    <w:basedOn w:val="TitreTR"/>
    <w:qFormat/>
    <w:rsid w:val="00832993"/>
    <w:pPr>
      <w:spacing w:before="0"/>
    </w:pPr>
    <w:rPr>
      <w:rFonts w:ascii="Calibri" w:eastAsia="Times New Roman" w:hAnsi="Calibri" w:cs="Times New Roman"/>
      <w:b w:val="0"/>
      <w:bCs w:val="0"/>
      <w:sz w:val="22"/>
      <w:szCs w:val="22"/>
    </w:rPr>
  </w:style>
  <w:style w:type="character" w:customStyle="1" w:styleId="esrinumericvalue">
    <w:name w:val="esrinumericvalue"/>
    <w:basedOn w:val="Policepardfaut"/>
    <w:rsid w:val="00832993"/>
  </w:style>
  <w:style w:type="paragraph" w:styleId="TitreTR">
    <w:name w:val="toa heading"/>
    <w:basedOn w:val="Normal"/>
    <w:next w:val="Normal"/>
    <w:uiPriority w:val="99"/>
    <w:semiHidden/>
    <w:unhideWhenUsed/>
    <w:rsid w:val="0083299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1130</TotalTime>
  <Pages>7</Pages>
  <Words>1955</Words>
  <Characters>10755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11</cp:revision>
  <dcterms:created xsi:type="dcterms:W3CDTF">2025-03-05T16:48:00Z</dcterms:created>
  <dcterms:modified xsi:type="dcterms:W3CDTF">2025-09-23T12:41:00Z</dcterms:modified>
</cp:coreProperties>
</file>